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91FF8">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91FF8">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91FF8">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91FF8">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91FF8">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91FF8">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91FF8">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91FF8">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91FF8">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91FF8">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91FF8">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91FF8">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91FF8">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91FF8">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91FF8">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91FF8">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91FF8">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91FF8">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91FF8">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91FF8">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91FF8">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91FF8">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91FF8">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91FF8">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91FF8">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91FF8">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91FF8">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91FF8">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91FF8">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91FF8">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91FF8">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91FF8">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91FF8">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91FF8">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91FF8">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91FF8">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91FF8">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91FF8">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91FF8">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91FF8">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91FF8">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91FF8">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91FF8">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91FF8">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91FF8">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91FF8">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7EAEE0" w:rsidR="00093CA9" w:rsidRDefault="00AF3905" w:rsidP="00093CA9">
            <w:pPr>
              <w:rPr>
                <w:lang w:eastAsia="ja-JP"/>
              </w:rPr>
            </w:pPr>
            <w:r w:rsidRPr="00AF3905">
              <w:t>Anderson Mori</w:t>
            </w:r>
            <w:r w:rsidR="00D04108">
              <w:rPr>
                <w:rFonts w:hint="eastAsia"/>
                <w:lang w:eastAsia="ja-JP"/>
              </w:rPr>
              <w:t xml:space="preserve"> &amp; </w:t>
            </w:r>
            <w:proofErr w:type="spellStart"/>
            <w:r w:rsidR="00D04108">
              <w:rPr>
                <w:rFonts w:hint="eastAsia"/>
                <w:lang w:eastAsia="ja-JP"/>
              </w:rPr>
              <w:t>Tomotsune</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4B3DC53" w:rsidR="00093CA9" w:rsidRDefault="003E5564" w:rsidP="00093CA9">
            <w:r w:rsidRPr="003E5564">
              <w:t>Pilot Scenario Analysis Exercise on Climate-Related Risks Based on Common Scenarios (</w:t>
            </w:r>
            <w:proofErr w:type="spellStart"/>
            <w:r w:rsidRPr="003E5564">
              <w:rPr>
                <w:rFonts w:ascii="ＭＳ ゴシック" w:eastAsia="ＭＳ ゴシック" w:hAnsi="ＭＳ ゴシック" w:cs="ＭＳ ゴシック" w:hint="eastAsia"/>
              </w:rPr>
              <w:t>気候関連リスクに係る共通シナリオに基づくシナリオ分析の試行的取組について</w:t>
            </w:r>
            <w:proofErr w:type="spellEnd"/>
            <w:r w:rsidRPr="003E5564">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8E070CE" w:rsidR="00093CA9" w:rsidRDefault="00791FF8" w:rsidP="00093CA9">
            <w:hyperlink r:id="rId17" w:history="1">
              <w:r w:rsidR="00912B5B">
                <w:rPr>
                  <w:rStyle w:val="ab"/>
                </w:rPr>
                <w:t>https://www.fsa.go.jp/en/news/2022/20220826/03.pdf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9183C4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5D65D4" w:rsidR="00093CA9" w:rsidRDefault="003E556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Pr="00912B5B" w:rsidRDefault="00093CA9" w:rsidP="00093CA9">
            <w:pPr>
              <w:rPr>
                <w:rFonts w:cstheme="minorHAnsi"/>
              </w:rPr>
            </w:pPr>
          </w:p>
        </w:tc>
        <w:tc>
          <w:tcPr>
            <w:tcW w:w="9169" w:type="dxa"/>
            <w:gridSpan w:val="4"/>
            <w:shd w:val="clear" w:color="auto" w:fill="auto"/>
            <w:vAlign w:val="center"/>
          </w:tcPr>
          <w:p w14:paraId="18257824" w14:textId="01813728" w:rsidR="00093CA9" w:rsidRPr="00912B5B" w:rsidRDefault="00912B5B" w:rsidP="00C34320">
            <w:pPr>
              <w:pStyle w:val="Web"/>
              <w:rPr>
                <w:rFonts w:cstheme="minorHAnsi"/>
              </w:rPr>
            </w:pPr>
            <w:r w:rsidRPr="00912B5B">
              <w:rPr>
                <w:rFonts w:asciiTheme="minorHAnsi" w:hAnsiTheme="minorHAnsi" w:cstheme="minorHAnsi"/>
              </w:rPr>
              <w:t>The "Pilot Scenario Analysis on Climate-Related Financial Risks" is a climate scenario analysis exercise led by the F</w:t>
            </w:r>
            <w:r w:rsidR="00C34320">
              <w:rPr>
                <w:rFonts w:asciiTheme="minorHAnsi" w:eastAsiaTheme="minorEastAsia" w:hAnsiTheme="minorHAnsi" w:cstheme="minorHAnsi" w:hint="eastAsia"/>
              </w:rPr>
              <w:t xml:space="preserve">inancial </w:t>
            </w:r>
            <w:r w:rsidRPr="00912B5B">
              <w:rPr>
                <w:rFonts w:asciiTheme="minorHAnsi" w:hAnsiTheme="minorHAnsi" w:cstheme="minorHAnsi"/>
              </w:rPr>
              <w:t>S</w:t>
            </w:r>
            <w:r w:rsidR="00C34320">
              <w:rPr>
                <w:rFonts w:asciiTheme="minorHAnsi" w:eastAsiaTheme="minorEastAsia" w:hAnsiTheme="minorHAnsi" w:cstheme="minorHAnsi" w:hint="eastAsia"/>
              </w:rPr>
              <w:t xml:space="preserve">ervices </w:t>
            </w:r>
            <w:r w:rsidRPr="00912B5B">
              <w:rPr>
                <w:rFonts w:asciiTheme="minorHAnsi" w:hAnsiTheme="minorHAnsi" w:cstheme="minorHAnsi"/>
              </w:rPr>
              <w:t>A</w:t>
            </w:r>
            <w:r w:rsidR="00C34320">
              <w:rPr>
                <w:rFonts w:asciiTheme="minorHAnsi" w:eastAsiaTheme="minorEastAsia" w:hAnsiTheme="minorHAnsi" w:cstheme="minorHAnsi" w:hint="eastAsia"/>
              </w:rPr>
              <w:t>gency (FSA)</w:t>
            </w:r>
            <w:r w:rsidRPr="00912B5B">
              <w:rPr>
                <w:rFonts w:asciiTheme="minorHAnsi" w:hAnsiTheme="minorHAnsi" w:cstheme="minorHAnsi"/>
              </w:rPr>
              <w:t xml:space="preserve"> and </w:t>
            </w:r>
            <w:r w:rsidR="00C34320">
              <w:rPr>
                <w:rFonts w:asciiTheme="minorHAnsi" w:eastAsiaTheme="minorEastAsia" w:hAnsiTheme="minorHAnsi" w:cstheme="minorHAnsi" w:hint="eastAsia"/>
              </w:rPr>
              <w:t>the Bank of Japan (</w:t>
            </w:r>
            <w:r w:rsidRPr="00912B5B">
              <w:rPr>
                <w:rFonts w:asciiTheme="minorHAnsi" w:hAnsiTheme="minorHAnsi" w:cstheme="minorHAnsi"/>
              </w:rPr>
              <w:t>BOJ</w:t>
            </w:r>
            <w:r w:rsidR="00C34320">
              <w:rPr>
                <w:rFonts w:asciiTheme="minorHAnsi" w:eastAsiaTheme="minorEastAsia" w:hAnsiTheme="minorHAnsi" w:cstheme="minorHAnsi" w:hint="eastAsia"/>
              </w:rPr>
              <w:t>)</w:t>
            </w:r>
            <w:r w:rsidRPr="00912B5B">
              <w:rPr>
                <w:rFonts w:asciiTheme="minorHAnsi" w:hAnsiTheme="minorHAnsi" w:cstheme="minorHAnsi"/>
              </w:rPr>
              <w:t xml:space="preserve"> with major Japanese banks and insur</w:t>
            </w:r>
            <w:r w:rsidR="00C34320">
              <w:rPr>
                <w:rFonts w:asciiTheme="minorHAnsi" w:eastAsiaTheme="minorEastAsia" w:hAnsiTheme="minorHAnsi" w:cstheme="minorHAnsi" w:hint="eastAsia"/>
              </w:rPr>
              <w:t>ance companies</w:t>
            </w:r>
            <w:r w:rsidRPr="00912B5B">
              <w:rPr>
                <w:rFonts w:asciiTheme="minorHAnsi" w:hAnsiTheme="minorHAnsi" w:cstheme="minorHAnsi"/>
              </w:rPr>
              <w:t xml:space="preserve">. Its goal is to assess how climate-related risks—both transition and physical—could affect financial institutions, using </w:t>
            </w:r>
            <w:proofErr w:type="spellStart"/>
            <w:r w:rsidRPr="00912B5B">
              <w:rPr>
                <w:rFonts w:asciiTheme="minorHAnsi" w:hAnsiTheme="minorHAnsi" w:cstheme="minorHAnsi"/>
              </w:rPr>
              <w:t>standardised</w:t>
            </w:r>
            <w:proofErr w:type="spellEnd"/>
            <w:r w:rsidRPr="00912B5B">
              <w:rPr>
                <w:rFonts w:asciiTheme="minorHAnsi" w:hAnsiTheme="minorHAnsi" w:cstheme="minorHAnsi"/>
              </w:rPr>
              <w:t xml:space="preserve"> scenarios from the Network for Greening the Financial System (NGFS). The tool helps </w:t>
            </w:r>
            <w:r w:rsidR="00C34320">
              <w:rPr>
                <w:rFonts w:asciiTheme="minorHAnsi" w:eastAsiaTheme="minorEastAsia" w:hAnsiTheme="minorHAnsi" w:cstheme="minorHAnsi" w:hint="eastAsia"/>
              </w:rPr>
              <w:t xml:space="preserve">to </w:t>
            </w:r>
            <w:r w:rsidRPr="00912B5B">
              <w:rPr>
                <w:rFonts w:asciiTheme="minorHAnsi" w:hAnsiTheme="minorHAnsi" w:cstheme="minorHAnsi"/>
              </w:rPr>
              <w:t>identify data and methodological gaps, supports better risk management, and strengthens prudential supervision by integrating climate risks into regulatory practice</w:t>
            </w:r>
            <w:r w:rsidR="00C34320">
              <w:rPr>
                <w:rFonts w:asciiTheme="minorHAnsi" w:eastAsiaTheme="minorEastAsia" w:hAnsiTheme="minorHAnsi" w:cstheme="minorHAnsi" w:hint="eastAsia"/>
              </w:rPr>
              <w:t>s</w:t>
            </w:r>
            <w:r w:rsidRPr="00912B5B">
              <w:rPr>
                <w:rFonts w:asciiTheme="minorHAnsi" w:hAnsiTheme="minorHAnsi" w:cstheme="minorHAnsi"/>
              </w:rPr>
              <w:t>. It is also known as a climate scenario analysis and is designed to build capacity and comparability, not to deliver definitive quantitative results.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118A874" w:rsidR="00093CA9" w:rsidRDefault="00912B5B"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9B4F027" w:rsidR="00093CA9" w:rsidRPr="00912B5B" w:rsidRDefault="00912B5B" w:rsidP="00912B5B">
            <w:pPr>
              <w:pStyle w:val="Web"/>
              <w:rPr>
                <w:rFonts w:ascii="Calibri" w:hAnsi="Calibri" w:cs="Calibri"/>
              </w:rPr>
            </w:pPr>
            <w:r>
              <w:rPr>
                <w:rFonts w:ascii="Calibri" w:hAnsi="Calibri" w:cs="Calibri"/>
              </w:rPr>
              <w:t>The "Pilot Scenario Analysis on Climate-Related Financial Risks" is not a formal regulatory tool that has been approved or put into force, nor has it been repealed, superseded, or retired. Instead, it is an ongoing pilot exercise and capacity-building initiative conducted by the FSA and BOJ in cooperation with major financial institutions. Its purpose is to improve scenario analysis methodologies, identify data and analytical gaps, and support the integration of climate-related risks into financial risk management and supervision. The exercise is considered a means for continuous improvement and dialogue, rather than a binding or enforceable policy instrument.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6A2158D" w:rsidR="00093CA9" w:rsidRPr="00173D7C" w:rsidRDefault="00912B5B"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52D9A80"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1521FF4" w:rsidR="00093CA9" w:rsidRDefault="003E3D1F" w:rsidP="00093CA9">
            <w:r>
              <w:rPr>
                <w:rFonts w:hint="eastAsia"/>
                <w:lang w:eastAsia="ja-JP"/>
              </w:rPr>
              <w:t>Governmental agency</w:t>
            </w:r>
            <w:r w:rsidR="00C34320">
              <w:rPr>
                <w:rFonts w:hint="eastAsia"/>
                <w:lang w:eastAsia="ja-JP"/>
              </w:rPr>
              <w:t xml:space="preserve"> (FSA)</w:t>
            </w:r>
            <w:r w:rsidR="008B1646">
              <w:t xml:space="preserve"> </w:t>
            </w:r>
            <w:r w:rsidR="009D022A">
              <w:rPr>
                <w:rFonts w:hint="eastAsia"/>
                <w:lang w:eastAsia="ja-JP"/>
              </w:rPr>
              <w:t>/ Central Bank</w:t>
            </w:r>
            <w:r w:rsidR="00C34320">
              <w:rPr>
                <w:rFonts w:hint="eastAsia"/>
                <w:lang w:eastAsia="ja-JP"/>
              </w:rPr>
              <w:t xml:space="preserve"> (BOJ)</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6A09DE6" w:rsidR="00093CA9" w:rsidRPr="006B7B0D" w:rsidRDefault="009D022A" w:rsidP="00093CA9">
            <w:pPr>
              <w:rPr>
                <w:lang w:eastAsia="ja-JP"/>
              </w:rPr>
            </w:pPr>
            <w:r>
              <w:rPr>
                <w:rFonts w:hint="eastAsia"/>
                <w:lang w:eastAsia="ja-JP"/>
              </w:rPr>
              <w:t>Financial Services Agency</w:t>
            </w:r>
            <w:r w:rsidR="00C34320">
              <w:rPr>
                <w:rFonts w:hint="eastAsia"/>
                <w:lang w:eastAsia="ja-JP"/>
              </w:rPr>
              <w:t xml:space="preserve"> (FSA)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D5931DE" w:rsidR="00093CA9" w:rsidRPr="006B7B0D" w:rsidRDefault="009D022A" w:rsidP="00093CA9">
            <w:pPr>
              <w:rPr>
                <w:lang w:eastAsia="ja-JP"/>
              </w:rPr>
            </w:pPr>
            <w:r>
              <w:rPr>
                <w:rFonts w:hint="eastAsia"/>
                <w:lang w:eastAsia="ja-JP"/>
              </w:rP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54794F2" w:rsidR="00093CA9" w:rsidRPr="006B7B0D" w:rsidRDefault="009D022A" w:rsidP="00093CA9">
            <w:pPr>
              <w:rPr>
                <w:lang w:eastAsia="ja-JP"/>
              </w:rPr>
            </w:pPr>
            <w:r>
              <w:rPr>
                <w:rFonts w:hint="eastAsia"/>
                <w:lang w:eastAsia="ja-JP"/>
              </w:rPr>
              <w:t>Bank of Japan</w:t>
            </w:r>
            <w:r w:rsidR="00C34320">
              <w:rPr>
                <w:rFonts w:hint="eastAsia"/>
                <w:lang w:eastAsia="ja-JP"/>
              </w:rPr>
              <w:t xml:space="preserve"> (BOJ)</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3617A885" w:rsidR="00093CA9" w:rsidRPr="006B7B0D" w:rsidRDefault="009D022A" w:rsidP="00093CA9">
            <w:pPr>
              <w:rPr>
                <w:lang w:eastAsia="ja-JP"/>
              </w:rPr>
            </w:pPr>
            <w:r>
              <w:rPr>
                <w:rFonts w:hint="eastAsia"/>
                <w:lang w:eastAsia="ja-JP"/>
              </w:rPr>
              <w:t>X</w:t>
            </w:r>
          </w:p>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47E9F90" w:rsidR="00093CA9" w:rsidRDefault="009D022A" w:rsidP="009D022A">
            <w:pPr>
              <w:rPr>
                <w:lang w:eastAsia="ja-JP"/>
              </w:rPr>
            </w:pPr>
            <w:r>
              <w:rPr>
                <w:rFonts w:hint="eastAsia"/>
                <w:lang w:eastAsia="ja-JP"/>
              </w:rPr>
              <w:t>T</w:t>
            </w:r>
            <w:r>
              <w:t>he FSA and BOJ consider th</w:t>
            </w:r>
            <w:r>
              <w:rPr>
                <w:rFonts w:hint="eastAsia"/>
                <w:lang w:eastAsia="ja-JP"/>
              </w:rPr>
              <w:t>e</w:t>
            </w:r>
            <w:r>
              <w:t xml:space="preserve"> exercise</w:t>
            </w:r>
            <w:r>
              <w:rPr>
                <w:rFonts w:hint="eastAsia"/>
                <w:lang w:eastAsia="ja-JP"/>
              </w:rPr>
              <w:t xml:space="preserve"> of </w:t>
            </w:r>
            <w:r>
              <w:rPr>
                <w:lang w:eastAsia="ja-JP"/>
              </w:rPr>
              <w:t>scenario</w:t>
            </w:r>
            <w:r>
              <w:rPr>
                <w:rFonts w:hint="eastAsia"/>
                <w:lang w:eastAsia="ja-JP"/>
              </w:rPr>
              <w:t xml:space="preserve"> analysis in the Pilot Scenario Analysis</w:t>
            </w:r>
            <w:r>
              <w:t xml:space="preserve"> as a means to continuously improve the scenario analysis and focused on understanding data constraints, assessing the validity</w:t>
            </w:r>
            <w:r>
              <w:rPr>
                <w:rFonts w:hint="eastAsia"/>
                <w:lang w:eastAsia="ja-JP"/>
              </w:rPr>
              <w:t xml:space="preserve"> </w:t>
            </w:r>
            <w:r w:rsidRPr="009D022A">
              <w:rPr>
                <w:lang w:eastAsia="ja-JP"/>
              </w:rPr>
              <w:t>of analytical assumptions and methods, and identifying issues for future improvement</w:t>
            </w:r>
            <w:r>
              <w:rPr>
                <w:rFonts w:hint="eastAsia"/>
                <w:lang w:eastAsia="ja-JP"/>
              </w:rPr>
              <w:t xml:space="preserve"> (pp.4-5)</w:t>
            </w:r>
            <w:r w:rsidRPr="009D022A">
              <w:rPr>
                <w:lang w:eastAsia="ja-JP"/>
              </w:rP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8B7BFD7" w:rsidR="00093CA9" w:rsidRDefault="008B1646"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EFDA420" w:rsidR="00D4323A" w:rsidRPr="00CF2E7C" w:rsidRDefault="008B1646"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38FE6EB4" w:rsidR="00D4323A" w:rsidRPr="00CF2E7C" w:rsidRDefault="008B1646"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3315EA2F" w:rsidR="00D4323A" w:rsidRPr="00CF2E7C" w:rsidRDefault="008B1646"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8B1646" w:rsidRPr="009C4D10" w14:paraId="7CCA8B79" w14:textId="77777777" w:rsidTr="008B1646">
        <w:trPr>
          <w:trHeight w:val="24"/>
        </w:trPr>
        <w:tc>
          <w:tcPr>
            <w:tcW w:w="1065" w:type="dxa"/>
            <w:vAlign w:val="center"/>
          </w:tcPr>
          <w:p w14:paraId="37C046FC" w14:textId="53C49594" w:rsidR="008B1646" w:rsidRPr="00CF2E7C" w:rsidRDefault="008B1646" w:rsidP="008B1646">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8B1646" w:rsidRPr="00CF2E7C" w:rsidRDefault="008B1646" w:rsidP="008B1646">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8B1646" w:rsidRPr="00CF2E7C" w:rsidRDefault="008B1646" w:rsidP="008B1646">
            <w:pPr>
              <w:rPr>
                <w:rFonts w:ascii="Calibri" w:hAnsi="Calibri" w:cs="Calibri"/>
              </w:rPr>
            </w:pPr>
          </w:p>
        </w:tc>
        <w:tc>
          <w:tcPr>
            <w:tcW w:w="1455" w:type="dxa"/>
            <w:gridSpan w:val="2"/>
            <w:vAlign w:val="center"/>
          </w:tcPr>
          <w:p w14:paraId="4902C0E0" w14:textId="77777777" w:rsidR="008B1646" w:rsidRPr="00CF2E7C" w:rsidRDefault="008B1646" w:rsidP="008B1646">
            <w:pPr>
              <w:rPr>
                <w:rFonts w:ascii="Calibri" w:hAnsi="Calibri" w:cs="Calibri"/>
              </w:rPr>
            </w:pPr>
          </w:p>
        </w:tc>
        <w:tc>
          <w:tcPr>
            <w:tcW w:w="1505" w:type="dxa"/>
          </w:tcPr>
          <w:p w14:paraId="09AE3F99" w14:textId="4CD67BF2"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7E6D8DB7" w14:textId="77777777" w:rsidTr="008B1646">
        <w:trPr>
          <w:trHeight w:val="24"/>
        </w:trPr>
        <w:tc>
          <w:tcPr>
            <w:tcW w:w="1065" w:type="dxa"/>
            <w:vAlign w:val="center"/>
          </w:tcPr>
          <w:p w14:paraId="01559852" w14:textId="4E391D88" w:rsidR="008B1646" w:rsidRPr="00CF2E7C" w:rsidRDefault="008B1646" w:rsidP="008B1646">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8B1646" w:rsidRPr="00CF2E7C" w:rsidRDefault="008B1646" w:rsidP="008B1646">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8B1646" w:rsidRPr="00CF2E7C" w:rsidRDefault="008B1646" w:rsidP="008B1646">
            <w:pPr>
              <w:rPr>
                <w:rFonts w:ascii="Calibri" w:hAnsi="Calibri" w:cs="Calibri"/>
              </w:rPr>
            </w:pPr>
          </w:p>
        </w:tc>
        <w:tc>
          <w:tcPr>
            <w:tcW w:w="1455" w:type="dxa"/>
            <w:gridSpan w:val="2"/>
            <w:vAlign w:val="center"/>
          </w:tcPr>
          <w:p w14:paraId="6CA5E6D4" w14:textId="77777777" w:rsidR="008B1646" w:rsidRPr="00CF2E7C" w:rsidRDefault="008B1646" w:rsidP="008B1646">
            <w:pPr>
              <w:rPr>
                <w:rFonts w:ascii="Calibri" w:hAnsi="Calibri" w:cs="Calibri"/>
              </w:rPr>
            </w:pPr>
          </w:p>
        </w:tc>
        <w:tc>
          <w:tcPr>
            <w:tcW w:w="1505" w:type="dxa"/>
          </w:tcPr>
          <w:p w14:paraId="3395370C" w14:textId="5B5DC782"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79ED0E10" w14:textId="77777777" w:rsidTr="008B1646">
        <w:trPr>
          <w:trHeight w:val="300"/>
        </w:trPr>
        <w:tc>
          <w:tcPr>
            <w:tcW w:w="1065" w:type="dxa"/>
            <w:vAlign w:val="center"/>
          </w:tcPr>
          <w:p w14:paraId="4BE294D3" w14:textId="36E58011" w:rsidR="008B1646" w:rsidRPr="00CF2E7C" w:rsidRDefault="008B1646" w:rsidP="008B1646">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8B1646" w:rsidRPr="00CF2E7C" w:rsidRDefault="008B1646" w:rsidP="008B1646">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8B1646" w:rsidRPr="00CF2E7C" w:rsidRDefault="008B1646" w:rsidP="008B1646">
            <w:pPr>
              <w:rPr>
                <w:rFonts w:ascii="Calibri" w:hAnsi="Calibri" w:cs="Calibri"/>
              </w:rPr>
            </w:pPr>
          </w:p>
        </w:tc>
        <w:tc>
          <w:tcPr>
            <w:tcW w:w="1455" w:type="dxa"/>
            <w:gridSpan w:val="2"/>
            <w:vAlign w:val="center"/>
          </w:tcPr>
          <w:p w14:paraId="4035B265" w14:textId="77777777" w:rsidR="008B1646" w:rsidRPr="00CF2E7C" w:rsidRDefault="008B1646" w:rsidP="008B1646">
            <w:pPr>
              <w:rPr>
                <w:rFonts w:ascii="Calibri" w:hAnsi="Calibri" w:cs="Calibri"/>
              </w:rPr>
            </w:pPr>
          </w:p>
        </w:tc>
        <w:tc>
          <w:tcPr>
            <w:tcW w:w="1505" w:type="dxa"/>
          </w:tcPr>
          <w:p w14:paraId="6709B18B" w14:textId="37BBA2D7"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6E1F1A41" w14:textId="77777777" w:rsidTr="008B1646">
        <w:trPr>
          <w:trHeight w:val="24"/>
        </w:trPr>
        <w:tc>
          <w:tcPr>
            <w:tcW w:w="1065" w:type="dxa"/>
            <w:vAlign w:val="center"/>
          </w:tcPr>
          <w:p w14:paraId="16418396" w14:textId="4F23F845" w:rsidR="008B1646" w:rsidRPr="00CF2E7C" w:rsidRDefault="008B1646" w:rsidP="008B1646">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8B1646" w:rsidRPr="00CF2E7C" w:rsidRDefault="008B1646" w:rsidP="008B1646">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8B1646" w:rsidRPr="00CF2E7C" w:rsidRDefault="008B1646" w:rsidP="008B1646">
            <w:pPr>
              <w:rPr>
                <w:rFonts w:ascii="Calibri" w:hAnsi="Calibri" w:cs="Calibri"/>
              </w:rPr>
            </w:pPr>
          </w:p>
        </w:tc>
        <w:tc>
          <w:tcPr>
            <w:tcW w:w="1455" w:type="dxa"/>
            <w:gridSpan w:val="2"/>
            <w:vAlign w:val="center"/>
          </w:tcPr>
          <w:p w14:paraId="22BF6C29" w14:textId="77777777" w:rsidR="008B1646" w:rsidRPr="00CF2E7C" w:rsidRDefault="008B1646" w:rsidP="008B1646">
            <w:pPr>
              <w:rPr>
                <w:rFonts w:ascii="Calibri" w:hAnsi="Calibri" w:cs="Calibri"/>
              </w:rPr>
            </w:pPr>
          </w:p>
        </w:tc>
        <w:tc>
          <w:tcPr>
            <w:tcW w:w="1505" w:type="dxa"/>
          </w:tcPr>
          <w:p w14:paraId="24A5223C" w14:textId="3462D910"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719820F8" w14:textId="77777777" w:rsidTr="008B1646">
        <w:trPr>
          <w:trHeight w:val="300"/>
        </w:trPr>
        <w:tc>
          <w:tcPr>
            <w:tcW w:w="1065" w:type="dxa"/>
            <w:vAlign w:val="center"/>
          </w:tcPr>
          <w:p w14:paraId="3A3F343D" w14:textId="5FF435E2" w:rsidR="008B1646" w:rsidRPr="00CF2E7C" w:rsidRDefault="008B1646" w:rsidP="008B1646">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8B1646" w:rsidRPr="00CF2E7C" w:rsidRDefault="008B1646" w:rsidP="008B1646">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8B1646" w:rsidRPr="00CF2E7C" w:rsidRDefault="008B1646" w:rsidP="008B1646">
            <w:pPr>
              <w:rPr>
                <w:rFonts w:ascii="Calibri" w:hAnsi="Calibri" w:cs="Calibri"/>
              </w:rPr>
            </w:pPr>
          </w:p>
        </w:tc>
        <w:tc>
          <w:tcPr>
            <w:tcW w:w="1455" w:type="dxa"/>
            <w:gridSpan w:val="2"/>
            <w:vAlign w:val="center"/>
          </w:tcPr>
          <w:p w14:paraId="4E9DEEA5" w14:textId="77777777" w:rsidR="008B1646" w:rsidRPr="00CF2E7C" w:rsidRDefault="008B1646" w:rsidP="008B1646">
            <w:pPr>
              <w:rPr>
                <w:rFonts w:ascii="Calibri" w:hAnsi="Calibri" w:cs="Calibri"/>
              </w:rPr>
            </w:pPr>
          </w:p>
        </w:tc>
        <w:tc>
          <w:tcPr>
            <w:tcW w:w="1505" w:type="dxa"/>
          </w:tcPr>
          <w:p w14:paraId="1BD9121A" w14:textId="4F2E152D"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17DAFD7B" w14:textId="77777777" w:rsidTr="008B1646">
        <w:trPr>
          <w:trHeight w:val="300"/>
        </w:trPr>
        <w:tc>
          <w:tcPr>
            <w:tcW w:w="1065" w:type="dxa"/>
            <w:vAlign w:val="center"/>
          </w:tcPr>
          <w:p w14:paraId="7435CCC4" w14:textId="7751F044" w:rsidR="008B1646" w:rsidRPr="00CF2E7C" w:rsidRDefault="008B1646" w:rsidP="008B1646">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8B1646" w:rsidRPr="00CF2E7C" w:rsidRDefault="008B1646" w:rsidP="008B1646">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8B1646" w:rsidRPr="00CF2E7C" w:rsidRDefault="008B1646" w:rsidP="008B1646">
            <w:pPr>
              <w:rPr>
                <w:rFonts w:ascii="Calibri" w:hAnsi="Calibri" w:cs="Calibri"/>
              </w:rPr>
            </w:pPr>
          </w:p>
        </w:tc>
        <w:tc>
          <w:tcPr>
            <w:tcW w:w="1455" w:type="dxa"/>
            <w:gridSpan w:val="2"/>
            <w:vAlign w:val="center"/>
          </w:tcPr>
          <w:p w14:paraId="5AC2C5A5" w14:textId="77777777" w:rsidR="008B1646" w:rsidRPr="00CF2E7C" w:rsidRDefault="008B1646" w:rsidP="008B1646">
            <w:pPr>
              <w:rPr>
                <w:rFonts w:ascii="Calibri" w:hAnsi="Calibri" w:cs="Calibri"/>
              </w:rPr>
            </w:pPr>
          </w:p>
        </w:tc>
        <w:tc>
          <w:tcPr>
            <w:tcW w:w="1505" w:type="dxa"/>
          </w:tcPr>
          <w:p w14:paraId="7D2537CF" w14:textId="35EF3B6F"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79E37C47" w14:textId="77777777" w:rsidTr="008B1646">
        <w:trPr>
          <w:trHeight w:val="300"/>
        </w:trPr>
        <w:tc>
          <w:tcPr>
            <w:tcW w:w="1065" w:type="dxa"/>
            <w:vAlign w:val="center"/>
          </w:tcPr>
          <w:p w14:paraId="473B2622" w14:textId="38397B39" w:rsidR="008B1646" w:rsidRPr="00CF2E7C" w:rsidRDefault="008B1646" w:rsidP="008B1646">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8B1646" w:rsidRPr="00CF2E7C" w:rsidRDefault="008B1646" w:rsidP="008B1646">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8B1646" w:rsidRPr="00CF2E7C" w:rsidRDefault="008B1646" w:rsidP="008B1646">
            <w:pPr>
              <w:rPr>
                <w:rFonts w:ascii="Calibri" w:hAnsi="Calibri" w:cs="Calibri"/>
              </w:rPr>
            </w:pPr>
          </w:p>
        </w:tc>
        <w:tc>
          <w:tcPr>
            <w:tcW w:w="1455" w:type="dxa"/>
            <w:gridSpan w:val="2"/>
            <w:vAlign w:val="center"/>
          </w:tcPr>
          <w:p w14:paraId="1D284466" w14:textId="77777777" w:rsidR="008B1646" w:rsidRPr="00CF2E7C" w:rsidRDefault="008B1646" w:rsidP="008B1646">
            <w:pPr>
              <w:rPr>
                <w:rFonts w:ascii="Calibri" w:hAnsi="Calibri" w:cs="Calibri"/>
              </w:rPr>
            </w:pPr>
          </w:p>
        </w:tc>
        <w:tc>
          <w:tcPr>
            <w:tcW w:w="1505" w:type="dxa"/>
          </w:tcPr>
          <w:p w14:paraId="2CD4C703" w14:textId="35C7F43B"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32DC1CDD" w14:textId="77777777" w:rsidTr="008B1646">
        <w:trPr>
          <w:trHeight w:val="300"/>
        </w:trPr>
        <w:tc>
          <w:tcPr>
            <w:tcW w:w="1065" w:type="dxa"/>
            <w:vAlign w:val="center"/>
          </w:tcPr>
          <w:p w14:paraId="2723A6DB" w14:textId="67A7AD21" w:rsidR="008B1646" w:rsidRPr="00CF2E7C" w:rsidRDefault="008B1646" w:rsidP="008B1646">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8B1646" w:rsidRPr="00CF2E7C" w:rsidRDefault="008B1646" w:rsidP="008B1646">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8B1646" w:rsidRPr="00CF2E7C" w:rsidRDefault="008B1646" w:rsidP="008B1646">
            <w:pPr>
              <w:rPr>
                <w:rFonts w:ascii="Calibri" w:hAnsi="Calibri" w:cs="Calibri"/>
              </w:rPr>
            </w:pPr>
          </w:p>
        </w:tc>
        <w:tc>
          <w:tcPr>
            <w:tcW w:w="1455" w:type="dxa"/>
            <w:gridSpan w:val="2"/>
            <w:vAlign w:val="center"/>
          </w:tcPr>
          <w:p w14:paraId="5A7414BC" w14:textId="77777777" w:rsidR="008B1646" w:rsidRPr="00CF2E7C" w:rsidRDefault="008B1646" w:rsidP="008B1646">
            <w:pPr>
              <w:rPr>
                <w:rFonts w:ascii="Calibri" w:hAnsi="Calibri" w:cs="Calibri"/>
              </w:rPr>
            </w:pPr>
          </w:p>
        </w:tc>
        <w:tc>
          <w:tcPr>
            <w:tcW w:w="1505" w:type="dxa"/>
          </w:tcPr>
          <w:p w14:paraId="324C4411" w14:textId="52F14C48"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719D5881" w14:textId="77777777" w:rsidTr="008B1646">
        <w:trPr>
          <w:trHeight w:val="24"/>
        </w:trPr>
        <w:tc>
          <w:tcPr>
            <w:tcW w:w="1065" w:type="dxa"/>
            <w:vAlign w:val="center"/>
          </w:tcPr>
          <w:p w14:paraId="414C1836" w14:textId="32974EF8" w:rsidR="008B1646" w:rsidRPr="00CF2E7C" w:rsidRDefault="008B1646" w:rsidP="008B1646">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8B1646" w:rsidRPr="00CF2E7C" w:rsidRDefault="008B1646" w:rsidP="008B1646">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8B1646" w:rsidRPr="00CF2E7C" w:rsidRDefault="008B1646" w:rsidP="008B1646">
            <w:pPr>
              <w:rPr>
                <w:rFonts w:ascii="Calibri" w:hAnsi="Calibri" w:cs="Calibri"/>
              </w:rPr>
            </w:pPr>
          </w:p>
        </w:tc>
        <w:tc>
          <w:tcPr>
            <w:tcW w:w="1455" w:type="dxa"/>
            <w:gridSpan w:val="2"/>
            <w:vAlign w:val="center"/>
          </w:tcPr>
          <w:p w14:paraId="52DD1FFC" w14:textId="77777777" w:rsidR="008B1646" w:rsidRPr="00CF2E7C" w:rsidRDefault="008B1646" w:rsidP="008B1646">
            <w:pPr>
              <w:rPr>
                <w:rFonts w:ascii="Calibri" w:hAnsi="Calibri" w:cs="Calibri"/>
              </w:rPr>
            </w:pPr>
          </w:p>
        </w:tc>
        <w:tc>
          <w:tcPr>
            <w:tcW w:w="1505" w:type="dxa"/>
          </w:tcPr>
          <w:p w14:paraId="0820E928" w14:textId="0E083FA0"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8B1646" w:rsidRPr="009C4D10" w14:paraId="048B2A89" w14:textId="77777777" w:rsidTr="008B1646">
        <w:trPr>
          <w:trHeight w:val="24"/>
        </w:trPr>
        <w:tc>
          <w:tcPr>
            <w:tcW w:w="1065" w:type="dxa"/>
            <w:vAlign w:val="center"/>
          </w:tcPr>
          <w:p w14:paraId="3C5936D0" w14:textId="05729924" w:rsidR="008B1646" w:rsidRPr="00CF2E7C" w:rsidRDefault="008B1646" w:rsidP="008B1646">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8B1646" w:rsidRPr="00CF2E7C" w:rsidRDefault="008B1646" w:rsidP="008B1646">
            <w:pPr>
              <w:rPr>
                <w:rFonts w:ascii="Calibri" w:hAnsi="Calibri" w:cs="Calibri"/>
              </w:rPr>
            </w:pPr>
            <w:r w:rsidRPr="00CF2E7C">
              <w:rPr>
                <w:rFonts w:ascii="Calibri" w:hAnsi="Calibri" w:cs="Calibri"/>
              </w:rPr>
              <w:t>Other</w:t>
            </w:r>
          </w:p>
        </w:tc>
        <w:tc>
          <w:tcPr>
            <w:tcW w:w="1456" w:type="dxa"/>
            <w:vAlign w:val="center"/>
          </w:tcPr>
          <w:p w14:paraId="0AD5C2B3" w14:textId="77777777" w:rsidR="008B1646" w:rsidRPr="00CF2E7C" w:rsidRDefault="008B1646" w:rsidP="008B1646">
            <w:pPr>
              <w:rPr>
                <w:rFonts w:ascii="Calibri" w:hAnsi="Calibri" w:cs="Calibri"/>
              </w:rPr>
            </w:pPr>
          </w:p>
        </w:tc>
        <w:tc>
          <w:tcPr>
            <w:tcW w:w="1455" w:type="dxa"/>
            <w:gridSpan w:val="2"/>
            <w:vAlign w:val="center"/>
          </w:tcPr>
          <w:p w14:paraId="459AF8B6" w14:textId="77777777" w:rsidR="008B1646" w:rsidRPr="00CF2E7C" w:rsidRDefault="008B1646" w:rsidP="008B1646">
            <w:pPr>
              <w:rPr>
                <w:rFonts w:ascii="Calibri" w:hAnsi="Calibri" w:cs="Calibri"/>
              </w:rPr>
            </w:pPr>
          </w:p>
        </w:tc>
        <w:tc>
          <w:tcPr>
            <w:tcW w:w="1505" w:type="dxa"/>
          </w:tcPr>
          <w:p w14:paraId="654433FC" w14:textId="6D7D8BF4" w:rsidR="008B1646" w:rsidRPr="00CF2E7C" w:rsidRDefault="008B1646" w:rsidP="008B1646">
            <w:pPr>
              <w:rPr>
                <w:rFonts w:ascii="Calibri" w:hAnsi="Calibri" w:cs="Calibri"/>
              </w:rPr>
            </w:pPr>
            <w:r w:rsidRPr="001F545A">
              <w:rPr>
                <w:rFonts w:ascii="Calibri" w:hAnsi="Calibri" w:cs="Calibri"/>
                <w:kern w:val="0"/>
                <w14:ligatures w14:val="none"/>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47ABD3F5" w:rsidR="00DD292A" w:rsidRPr="00CF2E7C" w:rsidRDefault="008B1646"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DBF150D" w:rsidR="00DD292A" w:rsidRPr="00CF2E7C" w:rsidRDefault="008B1646"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10A13D3C" w:rsidR="00DD292A" w:rsidRPr="00CF2E7C" w:rsidRDefault="008B1646"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CA33F43" w:rsidR="00DD292A" w:rsidRPr="00CF2E7C" w:rsidRDefault="008B1646"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E84745B" w:rsidR="00DD292A" w:rsidRPr="00CF2E7C" w:rsidRDefault="008B1646"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504326F" w:rsidR="00DD292A" w:rsidRPr="00CF2E7C" w:rsidRDefault="009D022A" w:rsidP="00CF2E7C">
            <w:pPr>
              <w:rPr>
                <w:rFonts w:ascii="Calibri" w:hAnsi="Calibri" w:cs="Calibri"/>
                <w:lang w:eastAsia="ja-JP"/>
              </w:rPr>
            </w:pPr>
            <w:r>
              <w:rPr>
                <w:rFonts w:ascii="Calibri" w:hAnsi="Calibri" w:cs="Calibri" w:hint="eastAsia"/>
                <w:lang w:eastAsia="ja-JP"/>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350C4337" w:rsidR="00DD292A" w:rsidRPr="00CF2E7C" w:rsidRDefault="009D022A" w:rsidP="00CF2E7C">
            <w:pPr>
              <w:rPr>
                <w:rFonts w:ascii="Calibri" w:hAnsi="Calibri" w:cs="Calibri"/>
                <w:lang w:eastAsia="ja-JP"/>
              </w:rPr>
            </w:pPr>
            <w:r>
              <w:rPr>
                <w:rFonts w:ascii="Calibri" w:hAnsi="Calibri" w:cs="Calibri" w:hint="eastAsia"/>
                <w:lang w:eastAsia="ja-JP"/>
              </w:rPr>
              <w:t>X</w:t>
            </w:r>
          </w:p>
        </w:tc>
      </w:tr>
      <w:tr w:rsidR="009D022A" w:rsidRPr="009C4D10" w14:paraId="3BA0392E" w14:textId="77777777" w:rsidTr="00791FF8">
        <w:trPr>
          <w:trHeight w:val="22"/>
        </w:trPr>
        <w:tc>
          <w:tcPr>
            <w:tcW w:w="1065" w:type="dxa"/>
            <w:vAlign w:val="center"/>
          </w:tcPr>
          <w:p w14:paraId="276CBF0C" w14:textId="3E668692" w:rsidR="009D022A" w:rsidRPr="00CF2E7C" w:rsidRDefault="009D022A" w:rsidP="009D022A">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9D022A" w:rsidRPr="00CF2E7C" w:rsidRDefault="009D022A" w:rsidP="009D022A">
            <w:pPr>
              <w:rPr>
                <w:rFonts w:ascii="Calibri" w:hAnsi="Calibri" w:cs="Calibri"/>
              </w:rPr>
            </w:pPr>
            <w:r w:rsidRPr="00CF2E7C">
              <w:rPr>
                <w:rFonts w:ascii="Calibri" w:hAnsi="Calibri" w:cs="Calibri"/>
              </w:rPr>
              <w:t>Manufacturing</w:t>
            </w:r>
          </w:p>
        </w:tc>
        <w:tc>
          <w:tcPr>
            <w:tcW w:w="1456" w:type="dxa"/>
            <w:vAlign w:val="center"/>
          </w:tcPr>
          <w:p w14:paraId="586492BC" w14:textId="77777777" w:rsidR="009D022A" w:rsidRPr="00CF2E7C" w:rsidRDefault="009D022A" w:rsidP="009D022A">
            <w:pPr>
              <w:rPr>
                <w:rFonts w:ascii="Calibri" w:hAnsi="Calibri" w:cs="Calibri"/>
              </w:rPr>
            </w:pPr>
          </w:p>
        </w:tc>
        <w:tc>
          <w:tcPr>
            <w:tcW w:w="1455" w:type="dxa"/>
            <w:gridSpan w:val="2"/>
            <w:vAlign w:val="center"/>
          </w:tcPr>
          <w:p w14:paraId="255E24D1"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27B73CB2" w14:textId="21403D29"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45B2E64A" w14:textId="77777777" w:rsidTr="00791FF8">
        <w:trPr>
          <w:trHeight w:val="22"/>
        </w:trPr>
        <w:tc>
          <w:tcPr>
            <w:tcW w:w="1065" w:type="dxa"/>
            <w:vAlign w:val="center"/>
          </w:tcPr>
          <w:p w14:paraId="0CBE5C40" w14:textId="32B1633E" w:rsidR="009D022A" w:rsidRPr="00CF2E7C" w:rsidRDefault="009D022A" w:rsidP="009D022A">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9D022A" w:rsidRPr="00CF2E7C" w:rsidRDefault="009D022A" w:rsidP="009D022A">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9D022A" w:rsidRPr="00CF2E7C" w:rsidRDefault="009D022A" w:rsidP="009D022A">
            <w:pPr>
              <w:rPr>
                <w:rFonts w:ascii="Calibri" w:hAnsi="Calibri" w:cs="Calibri"/>
              </w:rPr>
            </w:pPr>
          </w:p>
        </w:tc>
        <w:tc>
          <w:tcPr>
            <w:tcW w:w="1455" w:type="dxa"/>
            <w:gridSpan w:val="2"/>
            <w:vAlign w:val="center"/>
          </w:tcPr>
          <w:p w14:paraId="37AD3672"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0B0E7BE0" w14:textId="38772077"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43041C94" w14:textId="77777777" w:rsidTr="00791FF8">
        <w:trPr>
          <w:trHeight w:val="22"/>
        </w:trPr>
        <w:tc>
          <w:tcPr>
            <w:tcW w:w="1065" w:type="dxa"/>
            <w:vAlign w:val="center"/>
          </w:tcPr>
          <w:p w14:paraId="7B397B46" w14:textId="1F2D7FE1" w:rsidR="009D022A" w:rsidRPr="00CF2E7C" w:rsidRDefault="009D022A" w:rsidP="009D022A">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9D022A" w:rsidRPr="00CF2E7C" w:rsidRDefault="009D022A" w:rsidP="009D022A">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9D022A" w:rsidRPr="00CF2E7C" w:rsidRDefault="009D022A" w:rsidP="009D022A">
            <w:pPr>
              <w:rPr>
                <w:rFonts w:ascii="Calibri" w:hAnsi="Calibri" w:cs="Calibri"/>
              </w:rPr>
            </w:pPr>
          </w:p>
        </w:tc>
        <w:tc>
          <w:tcPr>
            <w:tcW w:w="1455" w:type="dxa"/>
            <w:gridSpan w:val="2"/>
            <w:vAlign w:val="center"/>
          </w:tcPr>
          <w:p w14:paraId="3011D3E3"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36FA7FC3" w14:textId="4D255583"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1E18327F" w14:textId="77777777" w:rsidTr="00791FF8">
        <w:trPr>
          <w:trHeight w:val="22"/>
        </w:trPr>
        <w:tc>
          <w:tcPr>
            <w:tcW w:w="1065" w:type="dxa"/>
            <w:vAlign w:val="center"/>
          </w:tcPr>
          <w:p w14:paraId="0FC93136" w14:textId="655F81EE" w:rsidR="009D022A" w:rsidRPr="00CF2E7C" w:rsidRDefault="009D022A" w:rsidP="009D022A">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9D022A" w:rsidRPr="00CF2E7C" w:rsidRDefault="009D022A" w:rsidP="009D022A">
            <w:pPr>
              <w:rPr>
                <w:rFonts w:ascii="Calibri" w:hAnsi="Calibri" w:cs="Calibri"/>
              </w:rPr>
            </w:pPr>
            <w:r w:rsidRPr="00CF2E7C">
              <w:rPr>
                <w:rFonts w:ascii="Calibri" w:hAnsi="Calibri" w:cs="Calibri"/>
              </w:rPr>
              <w:t>Construction</w:t>
            </w:r>
          </w:p>
        </w:tc>
        <w:tc>
          <w:tcPr>
            <w:tcW w:w="1456" w:type="dxa"/>
            <w:vAlign w:val="center"/>
          </w:tcPr>
          <w:p w14:paraId="04BF4413" w14:textId="77777777" w:rsidR="009D022A" w:rsidRPr="00CF2E7C" w:rsidRDefault="009D022A" w:rsidP="009D022A">
            <w:pPr>
              <w:rPr>
                <w:rFonts w:ascii="Calibri" w:hAnsi="Calibri" w:cs="Calibri"/>
              </w:rPr>
            </w:pPr>
          </w:p>
        </w:tc>
        <w:tc>
          <w:tcPr>
            <w:tcW w:w="1455" w:type="dxa"/>
            <w:gridSpan w:val="2"/>
            <w:vAlign w:val="center"/>
          </w:tcPr>
          <w:p w14:paraId="38A34F24"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6C1FE16E" w14:textId="2C4E6C17"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2A50DF4E" w14:textId="77777777" w:rsidTr="00791FF8">
        <w:trPr>
          <w:trHeight w:val="300"/>
        </w:trPr>
        <w:tc>
          <w:tcPr>
            <w:tcW w:w="1065" w:type="dxa"/>
            <w:vAlign w:val="center"/>
          </w:tcPr>
          <w:p w14:paraId="2155FD97" w14:textId="2EE2EAAC" w:rsidR="009D022A" w:rsidRPr="00CF2E7C" w:rsidRDefault="009D022A" w:rsidP="009D022A">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9D022A" w:rsidRPr="00CF2E7C" w:rsidRDefault="009D022A" w:rsidP="009D022A">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9D022A" w:rsidRPr="00CF2E7C" w:rsidRDefault="009D022A" w:rsidP="009D022A">
            <w:pPr>
              <w:rPr>
                <w:rFonts w:ascii="Calibri" w:hAnsi="Calibri" w:cs="Calibri"/>
              </w:rPr>
            </w:pPr>
          </w:p>
        </w:tc>
        <w:tc>
          <w:tcPr>
            <w:tcW w:w="1455" w:type="dxa"/>
            <w:gridSpan w:val="2"/>
            <w:vAlign w:val="center"/>
          </w:tcPr>
          <w:p w14:paraId="5408A0A0"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6A0704D2" w14:textId="57957E9A"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385EB592" w14:textId="77777777" w:rsidTr="00791FF8">
        <w:trPr>
          <w:trHeight w:val="22"/>
        </w:trPr>
        <w:tc>
          <w:tcPr>
            <w:tcW w:w="1065" w:type="dxa"/>
            <w:vAlign w:val="center"/>
          </w:tcPr>
          <w:p w14:paraId="7B938634" w14:textId="4E896EA2" w:rsidR="009D022A" w:rsidRPr="00CF2E7C" w:rsidRDefault="009D022A" w:rsidP="009D022A">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9D022A" w:rsidRPr="00CF2E7C" w:rsidRDefault="009D022A" w:rsidP="009D022A">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9D022A" w:rsidRPr="00CF2E7C" w:rsidRDefault="009D022A" w:rsidP="009D022A">
            <w:pPr>
              <w:rPr>
                <w:rFonts w:ascii="Calibri" w:hAnsi="Calibri" w:cs="Calibri"/>
              </w:rPr>
            </w:pPr>
          </w:p>
        </w:tc>
        <w:tc>
          <w:tcPr>
            <w:tcW w:w="1455" w:type="dxa"/>
            <w:gridSpan w:val="2"/>
            <w:vAlign w:val="center"/>
          </w:tcPr>
          <w:p w14:paraId="4BBAE27E"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5B8FD802" w14:textId="1D26C864"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151DC3D4" w14:textId="77777777" w:rsidTr="00791FF8">
        <w:trPr>
          <w:trHeight w:val="300"/>
        </w:trPr>
        <w:tc>
          <w:tcPr>
            <w:tcW w:w="1065" w:type="dxa"/>
            <w:vAlign w:val="center"/>
          </w:tcPr>
          <w:p w14:paraId="24686AA6" w14:textId="73367BC2" w:rsidR="009D022A" w:rsidRPr="00CF2E7C" w:rsidRDefault="009D022A" w:rsidP="009D022A">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9D022A" w:rsidRPr="00CF2E7C" w:rsidRDefault="009D022A" w:rsidP="009D022A">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9D022A" w:rsidRPr="00CF2E7C" w:rsidRDefault="009D022A" w:rsidP="009D022A">
            <w:pPr>
              <w:rPr>
                <w:rFonts w:ascii="Calibri" w:hAnsi="Calibri" w:cs="Calibri"/>
              </w:rPr>
            </w:pPr>
          </w:p>
        </w:tc>
        <w:tc>
          <w:tcPr>
            <w:tcW w:w="1455" w:type="dxa"/>
            <w:gridSpan w:val="2"/>
            <w:vAlign w:val="center"/>
          </w:tcPr>
          <w:p w14:paraId="5CE2605B"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73977984" w14:textId="73E27420"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5569CEE6" w14:textId="77777777" w:rsidTr="00791FF8">
        <w:trPr>
          <w:trHeight w:val="22"/>
        </w:trPr>
        <w:tc>
          <w:tcPr>
            <w:tcW w:w="1065" w:type="dxa"/>
            <w:vAlign w:val="center"/>
          </w:tcPr>
          <w:p w14:paraId="31EE4DB2" w14:textId="20709EB4" w:rsidR="009D022A" w:rsidRPr="00CF2E7C" w:rsidRDefault="009D022A" w:rsidP="009D022A">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9D022A" w:rsidRPr="00CF2E7C" w:rsidRDefault="009D022A" w:rsidP="009D022A">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9D022A" w:rsidRPr="00CF2E7C" w:rsidRDefault="009D022A" w:rsidP="009D022A">
            <w:pPr>
              <w:rPr>
                <w:rFonts w:ascii="Calibri" w:hAnsi="Calibri" w:cs="Calibri"/>
              </w:rPr>
            </w:pPr>
          </w:p>
        </w:tc>
        <w:tc>
          <w:tcPr>
            <w:tcW w:w="1455" w:type="dxa"/>
            <w:gridSpan w:val="2"/>
            <w:vAlign w:val="center"/>
          </w:tcPr>
          <w:p w14:paraId="1BA1B432"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258AB5B6" w14:textId="518DDA9F" w:rsidR="009D022A" w:rsidRPr="00CF2E7C" w:rsidRDefault="009D022A" w:rsidP="009D022A">
            <w:pPr>
              <w:rPr>
                <w:rFonts w:ascii="Calibri" w:hAnsi="Calibri" w:cs="Calibri"/>
              </w:rPr>
            </w:pPr>
            <w:r>
              <w:rPr>
                <w:rFonts w:ascii="Calibri" w:hAnsi="Calibri" w:cs="Calibri"/>
                <w:lang w:eastAsia="ja-JP"/>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469AE6B6" w:rsidR="00DD292A" w:rsidRPr="00CF2E7C" w:rsidRDefault="00721519" w:rsidP="00CF2E7C">
            <w:pPr>
              <w:rPr>
                <w:rFonts w:ascii="Calibri" w:hAnsi="Calibri" w:cs="Calibri"/>
              </w:rPr>
            </w:pPr>
            <w:r>
              <w:rPr>
                <w:rFonts w:ascii="Calibri" w:hAnsi="Calibri" w:cs="Calibri" w:hint="eastAsia"/>
                <w:lang w:eastAsia="ja-JP"/>
              </w:rPr>
              <w:t>X</w:t>
            </w:r>
          </w:p>
        </w:tc>
        <w:tc>
          <w:tcPr>
            <w:tcW w:w="1505" w:type="dxa"/>
            <w:vAlign w:val="center"/>
          </w:tcPr>
          <w:p w14:paraId="24D6275F" w14:textId="77777777" w:rsidR="00DD292A" w:rsidRPr="00CF2E7C" w:rsidRDefault="00DD292A" w:rsidP="00CF2E7C">
            <w:pPr>
              <w:rPr>
                <w:rFonts w:ascii="Calibri" w:hAnsi="Calibri" w:cs="Calibri"/>
              </w:rPr>
            </w:pPr>
          </w:p>
        </w:tc>
      </w:tr>
      <w:tr w:rsidR="009D022A" w:rsidRPr="009C4D10" w14:paraId="710A659C" w14:textId="77777777" w:rsidTr="00791FF8">
        <w:trPr>
          <w:trHeight w:val="300"/>
        </w:trPr>
        <w:tc>
          <w:tcPr>
            <w:tcW w:w="1065" w:type="dxa"/>
            <w:vAlign w:val="center"/>
          </w:tcPr>
          <w:p w14:paraId="15C9720A" w14:textId="1FD286BB" w:rsidR="009D022A" w:rsidRPr="00CF2E7C" w:rsidRDefault="009D022A" w:rsidP="009D022A">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9D022A" w:rsidRPr="00CF2E7C" w:rsidRDefault="009D022A" w:rsidP="009D022A">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9D022A" w:rsidRPr="00CF2E7C" w:rsidRDefault="009D022A" w:rsidP="009D022A">
            <w:pPr>
              <w:rPr>
                <w:rFonts w:ascii="Calibri" w:hAnsi="Calibri" w:cs="Calibri"/>
              </w:rPr>
            </w:pPr>
          </w:p>
        </w:tc>
        <w:tc>
          <w:tcPr>
            <w:tcW w:w="1455" w:type="dxa"/>
            <w:gridSpan w:val="2"/>
            <w:vAlign w:val="center"/>
          </w:tcPr>
          <w:p w14:paraId="32BA53EC"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3132483F" w14:textId="0181A5EE"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6922D8BF" w14:textId="77777777" w:rsidTr="00791FF8">
        <w:trPr>
          <w:trHeight w:val="300"/>
        </w:trPr>
        <w:tc>
          <w:tcPr>
            <w:tcW w:w="1065" w:type="dxa"/>
            <w:vAlign w:val="center"/>
          </w:tcPr>
          <w:p w14:paraId="36E911E0" w14:textId="6B06913E" w:rsidR="009D022A" w:rsidRPr="00CF2E7C" w:rsidRDefault="009D022A" w:rsidP="009D022A">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9D022A" w:rsidRPr="00CF2E7C" w:rsidRDefault="009D022A" w:rsidP="009D022A">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9D022A" w:rsidRPr="00CF2E7C" w:rsidRDefault="009D022A" w:rsidP="009D022A">
            <w:pPr>
              <w:rPr>
                <w:rFonts w:ascii="Calibri" w:hAnsi="Calibri" w:cs="Calibri"/>
              </w:rPr>
            </w:pPr>
          </w:p>
        </w:tc>
        <w:tc>
          <w:tcPr>
            <w:tcW w:w="1455" w:type="dxa"/>
            <w:gridSpan w:val="2"/>
            <w:vAlign w:val="center"/>
          </w:tcPr>
          <w:p w14:paraId="2897FEDE"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6A1956C6" w14:textId="65C75033"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029FB1F0" w14:textId="77777777" w:rsidTr="00791FF8">
        <w:trPr>
          <w:trHeight w:val="300"/>
        </w:trPr>
        <w:tc>
          <w:tcPr>
            <w:tcW w:w="1065" w:type="dxa"/>
            <w:vAlign w:val="center"/>
          </w:tcPr>
          <w:p w14:paraId="78E20A06" w14:textId="4C5F26C6" w:rsidR="009D022A" w:rsidRPr="00CF2E7C" w:rsidRDefault="009D022A" w:rsidP="009D022A">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9D022A" w:rsidRPr="00CF2E7C" w:rsidRDefault="009D022A" w:rsidP="009D022A">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9D022A" w:rsidRPr="00CF2E7C" w:rsidRDefault="009D022A" w:rsidP="009D022A">
            <w:pPr>
              <w:rPr>
                <w:rFonts w:ascii="Calibri" w:hAnsi="Calibri" w:cs="Calibri"/>
              </w:rPr>
            </w:pPr>
          </w:p>
        </w:tc>
        <w:tc>
          <w:tcPr>
            <w:tcW w:w="1455" w:type="dxa"/>
            <w:gridSpan w:val="2"/>
            <w:vAlign w:val="center"/>
          </w:tcPr>
          <w:p w14:paraId="0588D4B9"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6D557613" w14:textId="2A5CA0AE"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2FF1C34A" w14:textId="77777777" w:rsidTr="00791FF8">
        <w:trPr>
          <w:trHeight w:val="300"/>
        </w:trPr>
        <w:tc>
          <w:tcPr>
            <w:tcW w:w="1065" w:type="dxa"/>
            <w:vAlign w:val="center"/>
          </w:tcPr>
          <w:p w14:paraId="437A018E" w14:textId="578B1058" w:rsidR="009D022A" w:rsidRPr="00CF2E7C" w:rsidRDefault="009D022A" w:rsidP="009D022A">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9D022A" w:rsidRPr="00CF2E7C" w:rsidRDefault="009D022A" w:rsidP="009D022A">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9D022A" w:rsidRPr="00CF2E7C" w:rsidRDefault="009D022A" w:rsidP="009D022A">
            <w:pPr>
              <w:rPr>
                <w:rFonts w:ascii="Calibri" w:hAnsi="Calibri" w:cs="Calibri"/>
              </w:rPr>
            </w:pPr>
          </w:p>
        </w:tc>
        <w:tc>
          <w:tcPr>
            <w:tcW w:w="1455" w:type="dxa"/>
            <w:gridSpan w:val="2"/>
            <w:vAlign w:val="center"/>
          </w:tcPr>
          <w:p w14:paraId="40F5B4FC"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2D2CEFA1" w14:textId="3E8CFDB1"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010BC0C1" w14:textId="77777777" w:rsidTr="00791FF8">
        <w:trPr>
          <w:trHeight w:val="300"/>
        </w:trPr>
        <w:tc>
          <w:tcPr>
            <w:tcW w:w="1065" w:type="dxa"/>
            <w:vAlign w:val="center"/>
          </w:tcPr>
          <w:p w14:paraId="68DDB284" w14:textId="2824A9CE" w:rsidR="009D022A" w:rsidRPr="00CF2E7C" w:rsidRDefault="009D022A" w:rsidP="009D022A">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9D022A" w:rsidRPr="00CF2E7C" w:rsidRDefault="009D022A" w:rsidP="009D022A">
            <w:pPr>
              <w:rPr>
                <w:rFonts w:ascii="Calibri" w:hAnsi="Calibri" w:cs="Calibri"/>
              </w:rPr>
            </w:pPr>
            <w:r w:rsidRPr="00CF2E7C">
              <w:rPr>
                <w:rFonts w:ascii="Calibri" w:hAnsi="Calibri" w:cs="Calibri"/>
              </w:rPr>
              <w:t>Education</w:t>
            </w:r>
          </w:p>
        </w:tc>
        <w:tc>
          <w:tcPr>
            <w:tcW w:w="1456" w:type="dxa"/>
            <w:vAlign w:val="center"/>
          </w:tcPr>
          <w:p w14:paraId="2099E313" w14:textId="77777777" w:rsidR="009D022A" w:rsidRPr="00CF2E7C" w:rsidRDefault="009D022A" w:rsidP="009D022A">
            <w:pPr>
              <w:rPr>
                <w:rFonts w:ascii="Calibri" w:hAnsi="Calibri" w:cs="Calibri"/>
              </w:rPr>
            </w:pPr>
          </w:p>
        </w:tc>
        <w:tc>
          <w:tcPr>
            <w:tcW w:w="1455" w:type="dxa"/>
            <w:gridSpan w:val="2"/>
            <w:vAlign w:val="center"/>
          </w:tcPr>
          <w:p w14:paraId="4AA900D5"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5091B64E" w14:textId="41ED37E8"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252E2667" w14:textId="77777777" w:rsidTr="00791FF8">
        <w:trPr>
          <w:trHeight w:val="300"/>
        </w:trPr>
        <w:tc>
          <w:tcPr>
            <w:tcW w:w="1065" w:type="dxa"/>
            <w:vAlign w:val="center"/>
          </w:tcPr>
          <w:p w14:paraId="3AEE6D9A" w14:textId="1FB337E4" w:rsidR="009D022A" w:rsidRPr="00CF2E7C" w:rsidRDefault="009D022A" w:rsidP="009D022A">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9D022A" w:rsidRPr="00CF2E7C" w:rsidRDefault="009D022A" w:rsidP="009D022A">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9D022A" w:rsidRPr="00CF2E7C" w:rsidRDefault="009D022A" w:rsidP="009D022A">
            <w:pPr>
              <w:rPr>
                <w:rFonts w:ascii="Calibri" w:hAnsi="Calibri" w:cs="Calibri"/>
              </w:rPr>
            </w:pPr>
          </w:p>
        </w:tc>
        <w:tc>
          <w:tcPr>
            <w:tcW w:w="1455" w:type="dxa"/>
            <w:gridSpan w:val="2"/>
            <w:vAlign w:val="center"/>
          </w:tcPr>
          <w:p w14:paraId="7F6E73AD"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4B58B540" w14:textId="4486997F"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32A2E037" w14:textId="77777777" w:rsidTr="00791FF8">
        <w:trPr>
          <w:trHeight w:val="300"/>
        </w:trPr>
        <w:tc>
          <w:tcPr>
            <w:tcW w:w="1065" w:type="dxa"/>
            <w:vAlign w:val="center"/>
          </w:tcPr>
          <w:p w14:paraId="76840233" w14:textId="2D55CC25" w:rsidR="009D022A" w:rsidRPr="00CF2E7C" w:rsidRDefault="009D022A" w:rsidP="009D022A">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9D022A" w:rsidRPr="00CF2E7C" w:rsidRDefault="009D022A" w:rsidP="009D022A">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9D022A" w:rsidRPr="00CF2E7C" w:rsidRDefault="009D022A" w:rsidP="009D022A">
            <w:pPr>
              <w:rPr>
                <w:rFonts w:ascii="Calibri" w:hAnsi="Calibri" w:cs="Calibri"/>
              </w:rPr>
            </w:pPr>
          </w:p>
        </w:tc>
        <w:tc>
          <w:tcPr>
            <w:tcW w:w="1455" w:type="dxa"/>
            <w:gridSpan w:val="2"/>
            <w:vAlign w:val="center"/>
          </w:tcPr>
          <w:p w14:paraId="7D9216C7"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6880DCC8" w14:textId="7ABB6B49"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5EF39827" w14:textId="77777777" w:rsidTr="00791FF8">
        <w:trPr>
          <w:trHeight w:val="300"/>
        </w:trPr>
        <w:tc>
          <w:tcPr>
            <w:tcW w:w="1065" w:type="dxa"/>
            <w:vAlign w:val="center"/>
          </w:tcPr>
          <w:p w14:paraId="2D80659D" w14:textId="4F89BB28" w:rsidR="009D022A" w:rsidRPr="00CF2E7C" w:rsidRDefault="009D022A" w:rsidP="009D022A">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9D022A" w:rsidRPr="00CF2E7C" w:rsidRDefault="009D022A" w:rsidP="009D022A">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9D022A" w:rsidRPr="00CF2E7C" w:rsidRDefault="009D022A" w:rsidP="009D022A">
            <w:pPr>
              <w:rPr>
                <w:rFonts w:ascii="Calibri" w:hAnsi="Calibri" w:cs="Calibri"/>
              </w:rPr>
            </w:pPr>
          </w:p>
        </w:tc>
        <w:tc>
          <w:tcPr>
            <w:tcW w:w="1455" w:type="dxa"/>
            <w:gridSpan w:val="2"/>
            <w:vAlign w:val="center"/>
          </w:tcPr>
          <w:p w14:paraId="0FF1816F"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3EFF307A" w14:textId="030FBAAC"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6A26AA9B" w14:textId="77777777" w:rsidTr="00791FF8">
        <w:trPr>
          <w:trHeight w:val="300"/>
        </w:trPr>
        <w:tc>
          <w:tcPr>
            <w:tcW w:w="1065" w:type="dxa"/>
            <w:vAlign w:val="center"/>
          </w:tcPr>
          <w:p w14:paraId="4220F638" w14:textId="16AA9017" w:rsidR="009D022A" w:rsidRPr="00CF2E7C" w:rsidRDefault="009D022A" w:rsidP="009D022A">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9D022A" w:rsidRPr="00CF2E7C" w:rsidRDefault="009D022A" w:rsidP="009D022A">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9D022A" w:rsidRPr="00CF2E7C" w:rsidRDefault="009D022A" w:rsidP="009D022A">
            <w:pPr>
              <w:rPr>
                <w:rFonts w:ascii="Calibri" w:hAnsi="Calibri" w:cs="Calibri"/>
              </w:rPr>
            </w:pPr>
          </w:p>
        </w:tc>
        <w:tc>
          <w:tcPr>
            <w:tcW w:w="1455" w:type="dxa"/>
            <w:gridSpan w:val="2"/>
            <w:vAlign w:val="center"/>
          </w:tcPr>
          <w:p w14:paraId="68E06EB0"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0503497B" w14:textId="0D79025F" w:rsidR="009D022A" w:rsidRPr="00CF2E7C" w:rsidRDefault="009D022A" w:rsidP="009D022A">
            <w:pPr>
              <w:rPr>
                <w:rFonts w:ascii="Calibri" w:hAnsi="Calibri" w:cs="Calibri"/>
              </w:rPr>
            </w:pPr>
            <w:r>
              <w:rPr>
                <w:rFonts w:ascii="Calibri" w:hAnsi="Calibri" w:cs="Calibri"/>
                <w:lang w:eastAsia="ja-JP"/>
              </w:rPr>
              <w:t>X</w:t>
            </w:r>
          </w:p>
        </w:tc>
      </w:tr>
      <w:tr w:rsidR="009D022A" w:rsidRPr="009C4D10" w14:paraId="1372325C" w14:textId="77777777" w:rsidTr="00791FF8">
        <w:trPr>
          <w:trHeight w:val="300"/>
        </w:trPr>
        <w:tc>
          <w:tcPr>
            <w:tcW w:w="1065" w:type="dxa"/>
            <w:vAlign w:val="center"/>
          </w:tcPr>
          <w:p w14:paraId="686BDB9E" w14:textId="5E815A29" w:rsidR="009D022A" w:rsidRPr="00CF2E7C" w:rsidRDefault="009D022A" w:rsidP="009D022A">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9D022A" w:rsidRPr="00CF2E7C" w:rsidRDefault="009D022A" w:rsidP="009D022A">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9D022A" w:rsidRPr="00CF2E7C" w:rsidRDefault="009D022A" w:rsidP="009D022A">
            <w:pPr>
              <w:rPr>
                <w:rFonts w:ascii="Calibri" w:hAnsi="Calibri" w:cs="Calibri"/>
              </w:rPr>
            </w:pPr>
          </w:p>
        </w:tc>
        <w:tc>
          <w:tcPr>
            <w:tcW w:w="1455" w:type="dxa"/>
            <w:gridSpan w:val="2"/>
            <w:vAlign w:val="center"/>
          </w:tcPr>
          <w:p w14:paraId="59AAF925" w14:textId="77777777" w:rsidR="009D022A" w:rsidRPr="00CF2E7C" w:rsidRDefault="009D022A" w:rsidP="009D022A">
            <w:pPr>
              <w:rPr>
                <w:rFonts w:ascii="Calibri" w:hAnsi="Calibri" w:cs="Calibri"/>
              </w:rPr>
            </w:pPr>
          </w:p>
        </w:tc>
        <w:tc>
          <w:tcPr>
            <w:tcW w:w="1505" w:type="dxa"/>
            <w:tcBorders>
              <w:top w:val="single" w:sz="4" w:space="0" w:color="auto"/>
              <w:left w:val="single" w:sz="4" w:space="0" w:color="auto"/>
              <w:bottom w:val="single" w:sz="4" w:space="0" w:color="auto"/>
              <w:right w:val="single" w:sz="4" w:space="0" w:color="auto"/>
            </w:tcBorders>
            <w:vAlign w:val="center"/>
          </w:tcPr>
          <w:p w14:paraId="0F24D7A9" w14:textId="765CBE98" w:rsidR="009D022A" w:rsidRPr="00CF2E7C" w:rsidRDefault="009D022A" w:rsidP="009D022A">
            <w:pPr>
              <w:rPr>
                <w:rFonts w:ascii="Calibri" w:hAnsi="Calibri" w:cs="Calibri"/>
              </w:rPr>
            </w:pPr>
            <w:r>
              <w:rPr>
                <w:rFonts w:ascii="Calibri" w:hAnsi="Calibri" w:cs="Calibri"/>
                <w:lang w:eastAsia="ja-JP"/>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2AA59AC5" w:rsidR="00DD292A" w:rsidRPr="00CF2E7C" w:rsidRDefault="00E77726" w:rsidP="00CF2E7C">
            <w:pPr>
              <w:rPr>
                <w:rFonts w:ascii="Calibri" w:hAnsi="Calibri" w:cs="Calibri"/>
              </w:rPr>
            </w:pPr>
            <w:r>
              <w:rPr>
                <w:rFonts w:ascii="Calibri" w:hAnsi="Calibri" w:cs="Calibri"/>
              </w:rPr>
              <w:t>Not specified</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485A9C2F" w:rsidR="00DD292A" w:rsidRPr="00CF2E7C" w:rsidRDefault="00E77726" w:rsidP="00CF2E7C">
            <w:pPr>
              <w:rPr>
                <w:rFonts w:ascii="Calibri" w:hAnsi="Calibri" w:cs="Calibri"/>
              </w:rPr>
            </w:pPr>
            <w:r>
              <w:rPr>
                <w:rFonts w:ascii="Calibri" w:hAnsi="Calibri" w:cs="Calibri"/>
                <w:kern w:val="0"/>
                <w14:ligatures w14:val="none"/>
              </w:rPr>
              <w:t>Not specified</w:t>
            </w: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313E20ED" w:rsidR="00DD292A" w:rsidRPr="00CF2E7C" w:rsidRDefault="00E77726" w:rsidP="00CF2E7C">
            <w:pPr>
              <w:rPr>
                <w:rFonts w:ascii="Calibri" w:hAnsi="Calibri" w:cs="Calibri"/>
                <w:lang w:val="sv-SE"/>
              </w:rPr>
            </w:pPr>
            <w:r>
              <w:rPr>
                <w:rFonts w:ascii="Calibri" w:hAnsi="Calibri" w:cs="Calibri"/>
                <w:kern w:val="0"/>
                <w14:ligatures w14:val="none"/>
              </w:rPr>
              <w:t>Not specified</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32F6FA3E" w:rsidR="00DD292A" w:rsidRPr="00CF2E7C" w:rsidRDefault="00E77726" w:rsidP="00CF2E7C">
            <w:pPr>
              <w:rPr>
                <w:rFonts w:ascii="Calibri" w:hAnsi="Calibri" w:cs="Calibri"/>
              </w:rPr>
            </w:pPr>
            <w:r>
              <w:rPr>
                <w:rFonts w:ascii="Calibri" w:hAnsi="Calibri" w:cs="Calibri"/>
                <w:kern w:val="0"/>
                <w14:ligatures w14:val="none"/>
              </w:rPr>
              <w:t>Not specified</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1F6A37FC" w:rsidR="00DD292A" w:rsidRPr="00CF2E7C" w:rsidRDefault="00E77726" w:rsidP="00CF2E7C">
            <w:pPr>
              <w:rPr>
                <w:rFonts w:ascii="Calibri" w:hAnsi="Calibri" w:cs="Calibri"/>
              </w:rPr>
            </w:pPr>
            <w:r>
              <w:rPr>
                <w:rFonts w:ascii="Calibri" w:hAnsi="Calibri" w:cs="Calibri"/>
              </w:rPr>
              <w:t xml:space="preserve">Yes – major financial institutions headquartered in Japan. </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2AD63442" w:rsidR="00DD292A" w:rsidRPr="00CF2E7C" w:rsidRDefault="00E77726" w:rsidP="00CF2E7C">
            <w:pPr>
              <w:rPr>
                <w:rFonts w:ascii="Calibri" w:hAnsi="Calibri" w:cs="Calibri"/>
              </w:rPr>
            </w:pPr>
            <w:r>
              <w:rPr>
                <w:rFonts w:ascii="Calibri" w:hAnsi="Calibri" w:cs="Calibri"/>
              </w:rPr>
              <w:t xml:space="preserve">Selection is based on systemic importance and market share (largest banks and </w:t>
            </w:r>
            <w:r w:rsidR="00C34320">
              <w:rPr>
                <w:rFonts w:ascii="Calibri" w:hAnsi="Calibri" w:cs="Calibri" w:hint="eastAsia"/>
                <w:lang w:eastAsia="ja-JP"/>
              </w:rPr>
              <w:t>insurance companies</w:t>
            </w:r>
            <w:r>
              <w:rPr>
                <w:rFonts w:ascii="Calibri" w:hAnsi="Calibri" w:cs="Calibri"/>
              </w:rPr>
              <w:t xml:space="preserve"> only).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B455FDA" w:rsidR="00DD292A" w:rsidRPr="00CF2E7C" w:rsidRDefault="001B09D6" w:rsidP="00CF2E7C">
            <w:pPr>
              <w:rPr>
                <w:rFonts w:ascii="Calibri" w:hAnsi="Calibri" w:cs="Calibri"/>
              </w:rPr>
            </w:pPr>
            <w:r>
              <w:rPr>
                <w:rFonts w:ascii="Calibri" w:hAnsi="Calibri" w:cs="Calibri"/>
              </w:rPr>
              <w:t>N/A</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4515C3F9" w:rsidR="00DD292A" w:rsidRPr="00CF2E7C" w:rsidRDefault="001B09D6" w:rsidP="00CF2E7C">
            <w:pPr>
              <w:rPr>
                <w:rFonts w:ascii="Calibri" w:hAnsi="Calibri" w:cs="Calibri"/>
              </w:rPr>
            </w:pPr>
            <w:r>
              <w:rPr>
                <w:rFonts w:ascii="Calibri" w:hAnsi="Calibri" w:cs="Calibri"/>
                <w:kern w:val="0"/>
                <w14:ligatures w14:val="none"/>
              </w:rPr>
              <w:t>N/A</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53A989B2" w:rsidR="00DD292A" w:rsidRPr="00AA2185" w:rsidRDefault="001B09D6" w:rsidP="00CF2E7C">
            <w:pPr>
              <w:rPr>
                <w:rFonts w:ascii="Calibri" w:hAnsi="Calibri" w:cs="Calibri"/>
                <w:lang w:eastAsia="ja-JP"/>
              </w:rPr>
            </w:pPr>
            <w:r>
              <w:rPr>
                <w:rFonts w:ascii="Calibri" w:hAnsi="Calibri" w:cs="Calibri"/>
                <w:kern w:val="0"/>
                <w14:ligatures w14:val="none"/>
              </w:rPr>
              <w:t>N/A</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3E169FE" w:rsidR="00DD292A" w:rsidRPr="001B09D6" w:rsidRDefault="00D04108" w:rsidP="00CF2E7C">
            <w:pPr>
              <w:rPr>
                <w:rFonts w:ascii="Calibri" w:hAnsi="Calibri" w:cs="Calibri"/>
                <w:lang w:eastAsia="ja-JP"/>
              </w:rPr>
            </w:pPr>
            <w:r>
              <w:rPr>
                <w:rFonts w:ascii="Calibri" w:hAnsi="Calibri" w:cs="Calibri" w:hint="eastAsia"/>
                <w:lang w:eastAsia="ja-JP"/>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39B31C5" w:rsidR="00DD292A" w:rsidRPr="00CF2E7C" w:rsidRDefault="00D04108" w:rsidP="00CF2E7C">
            <w:pPr>
              <w:rPr>
                <w:rFonts w:ascii="Calibri" w:hAnsi="Calibri" w:cs="Calibri"/>
                <w:lang w:eastAsia="ja-JP"/>
              </w:rPr>
            </w:pPr>
            <w:r>
              <w:rPr>
                <w:rFonts w:ascii="Calibri" w:hAnsi="Calibri" w:cs="Calibri" w:hint="eastAsia"/>
                <w:lang w:eastAsia="ja-JP"/>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1979B03F" w:rsidR="00410853" w:rsidRPr="008251DB" w:rsidRDefault="008251DB"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22831C4" w:rsidR="00410853" w:rsidRPr="008251DB" w:rsidRDefault="008251DB"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33D7561" w:rsidR="00F632FB" w:rsidRPr="008251DB" w:rsidRDefault="008251DB"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8627B17" w:rsidR="00F632FB" w:rsidRPr="008251DB" w:rsidRDefault="008251DB"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1E9D248" w:rsidR="00F632FB" w:rsidRPr="008251DB" w:rsidRDefault="008251DB"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CB34F6B" w:rsidR="008C4722" w:rsidRPr="008251DB" w:rsidRDefault="008251DB"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A62D42C" w:rsidR="008C4722" w:rsidRPr="008251DB" w:rsidRDefault="008251DB"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8251DB"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EABADF4" w:rsidR="008C4722" w:rsidRPr="00CF2E7C" w:rsidRDefault="003519B9" w:rsidP="00CF2E7C">
            <w:pPr>
              <w:textAlignment w:val="baseline"/>
              <w:rPr>
                <w:rFonts w:ascii="Calibri" w:eastAsia="Times New Roman" w:hAnsi="Calibri" w:cs="Calibri"/>
                <w:kern w:val="0"/>
                <w:lang w:eastAsia="en-GB"/>
                <w14:ligatures w14:val="none"/>
              </w:rPr>
            </w:pPr>
            <w:r w:rsidRPr="003519B9">
              <w:rPr>
                <w:rFonts w:ascii="Calibri" w:eastAsia="Times New Roman" w:hAnsi="Calibri" w:cs="Calibri"/>
                <w:kern w:val="0"/>
                <w:lang w:eastAsia="en-GB"/>
                <w14:ligatures w14:val="none"/>
              </w:rPr>
              <w:t>The policy tool addresses climate-related financial risks for targeted entities—major banks and non-life insurance groups—by mandating scenario analysis using common NGFS scenarios (Net Zero 2050, Delayed transition, and Current policies) to assess both transition and physical risks on their current portfolios, with each entity applying its own models within a standardised framework (see Executive Summary and Section II). For banks, this involves estimating changes in credit costs across key sectors and exposures, using sector-specific simulations and macroeconomic indicators, while for insurers, the focus is on quantifying changes in claim payments from acute physical risks like typhoons and floods, based on intensified disaster scenarios (Section III and IV). The analysis is conducted on a static balance sheet as of March 31, 2021, to isolate the direct impact of climate risks, and results are used to inform risk management and strategic planning, though the exercise also highlights the need for improved data, methodological refinement, and greater comparability across entities (Section III, "Results and Key Issues"; Section V, "Future direction").</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5D0278C8" w:rsidR="008C4722" w:rsidRPr="003519B9" w:rsidRDefault="003519B9"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33D75544" w:rsidR="008C4722" w:rsidRPr="003519B9" w:rsidRDefault="003519B9"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E904F7" w:rsidRDefault="008C4722" w:rsidP="00CF2E7C">
            <w:pPr>
              <w:textAlignment w:val="baseline"/>
              <w:rPr>
                <w:rFonts w:ascii="Calibri" w:eastAsia="Times New Roman" w:hAnsi="Calibri" w:cs="Calibri"/>
                <w:kern w:val="0"/>
                <w:lang w:eastAsia="en-GB"/>
                <w14:ligatures w14:val="none"/>
              </w:rPr>
            </w:pPr>
            <w:r w:rsidRPr="00E904F7">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CC2D2F" w14:textId="77777777" w:rsidR="00E904F7" w:rsidRPr="00E904F7" w:rsidRDefault="00E904F7" w:rsidP="00E904F7">
            <w:pPr>
              <w:spacing w:before="100" w:beforeAutospacing="1" w:after="100" w:afterAutospacing="1"/>
              <w:rPr>
                <w:rFonts w:eastAsiaTheme="majorEastAsia" w:cstheme="minorHAnsi"/>
                <w:kern w:val="0"/>
                <w:lang w:val="en-US" w:eastAsia="ja-JP"/>
                <w14:ligatures w14:val="none"/>
              </w:rPr>
            </w:pPr>
            <w:r w:rsidRPr="00E904F7">
              <w:rPr>
                <w:rFonts w:eastAsiaTheme="majorEastAsia" w:cstheme="minorHAnsi"/>
                <w:kern w:val="0"/>
                <w:lang w:val="en-US" w:eastAsia="ja-JP"/>
                <w14:ligatures w14:val="none"/>
              </w:rPr>
              <w:t xml:space="preserve">The policy tool refers to the Basel capital regulatory framework by </w:t>
            </w:r>
            <w:proofErr w:type="spellStart"/>
            <w:r w:rsidRPr="00E904F7">
              <w:rPr>
                <w:rFonts w:eastAsiaTheme="majorEastAsia" w:cstheme="minorHAnsi"/>
                <w:kern w:val="0"/>
                <w:lang w:val="en-US" w:eastAsia="ja-JP"/>
                <w14:ligatures w14:val="none"/>
              </w:rPr>
              <w:t>operationalising</w:t>
            </w:r>
            <w:proofErr w:type="spellEnd"/>
            <w:r w:rsidRPr="00E904F7">
              <w:rPr>
                <w:rFonts w:eastAsiaTheme="majorEastAsia" w:cstheme="minorHAnsi"/>
                <w:kern w:val="0"/>
                <w:lang w:val="en-US" w:eastAsia="ja-JP"/>
                <w14:ligatures w14:val="none"/>
              </w:rPr>
              <w:t xml:space="preserve"> the principles of Pillar 2 (supervisory review and capital add-ons) and Pillar 3 (market discipline and disclosure) in the context of climate-related financial risk management and disclosure for targeted entities.</w:t>
            </w:r>
          </w:p>
          <w:p w14:paraId="66EE4A80" w14:textId="77777777" w:rsidR="00E904F7" w:rsidRPr="00E904F7" w:rsidRDefault="00E904F7" w:rsidP="00E904F7">
            <w:pPr>
              <w:widowControl w:val="0"/>
              <w:spacing w:before="0" w:after="160" w:line="256" w:lineRule="auto"/>
              <w:jc w:val="both"/>
              <w:rPr>
                <w:rFonts w:eastAsiaTheme="majorEastAsia" w:cstheme="minorHAnsi"/>
                <w:kern w:val="0"/>
                <w:lang w:val="en-US" w:eastAsia="ja-JP"/>
              </w:rPr>
            </w:pPr>
            <w:r w:rsidRPr="00E904F7">
              <w:rPr>
                <w:rFonts w:eastAsiaTheme="majorEastAsia" w:cstheme="minorHAnsi"/>
                <w:kern w:val="0"/>
                <w:lang w:val="en-US" w:eastAsia="ja-JP"/>
              </w:rPr>
              <w:t>Relevant sections:</w:t>
            </w:r>
          </w:p>
          <w:p w14:paraId="5EACF5F4" w14:textId="77777777" w:rsidR="00E904F7" w:rsidRPr="00E904F7" w:rsidRDefault="00E904F7" w:rsidP="00E904F7">
            <w:pPr>
              <w:widowControl w:val="0"/>
              <w:numPr>
                <w:ilvl w:val="0"/>
                <w:numId w:val="49"/>
              </w:numPr>
              <w:spacing w:before="100" w:beforeAutospacing="1" w:after="100" w:afterAutospacing="1" w:line="256" w:lineRule="auto"/>
              <w:jc w:val="both"/>
              <w:rPr>
                <w:rFonts w:eastAsiaTheme="majorEastAsia" w:cstheme="minorHAnsi"/>
                <w:kern w:val="0"/>
                <w:lang w:val="en-US" w:eastAsia="ja-JP"/>
                <w14:ligatures w14:val="none"/>
              </w:rPr>
            </w:pPr>
            <w:r w:rsidRPr="00E904F7">
              <w:rPr>
                <w:rFonts w:eastAsiaTheme="majorEastAsia" w:cstheme="minorHAnsi"/>
                <w:b/>
                <w:bCs/>
                <w:kern w:val="0"/>
                <w:lang w:val="en-US" w:eastAsia="ja-JP"/>
                <w14:ligatures w14:val="none"/>
              </w:rPr>
              <w:t>Executive Summary</w:t>
            </w:r>
            <w:r w:rsidRPr="00E904F7">
              <w:rPr>
                <w:rFonts w:eastAsiaTheme="majorEastAsia" w:cstheme="minorHAnsi"/>
                <w:kern w:val="0"/>
                <w:lang w:val="en-US" w:eastAsia="ja-JP"/>
                <w14:ligatures w14:val="none"/>
              </w:rPr>
              <w:t>: Outlines the purpose of the scenario analysis, which is to improve risk management and disclosure practices in line with international standards, including those set by the BCBS.</w:t>
            </w:r>
          </w:p>
          <w:p w14:paraId="2C64693C" w14:textId="77777777" w:rsidR="00E904F7" w:rsidRPr="00E904F7" w:rsidRDefault="00E904F7" w:rsidP="00E904F7">
            <w:pPr>
              <w:widowControl w:val="0"/>
              <w:numPr>
                <w:ilvl w:val="0"/>
                <w:numId w:val="49"/>
              </w:numPr>
              <w:spacing w:before="100" w:beforeAutospacing="1" w:after="100" w:afterAutospacing="1" w:line="256" w:lineRule="auto"/>
              <w:jc w:val="both"/>
              <w:rPr>
                <w:rFonts w:eastAsiaTheme="majorEastAsia" w:cstheme="minorHAnsi"/>
                <w:kern w:val="0"/>
                <w:lang w:val="en-US" w:eastAsia="ja-JP"/>
                <w14:ligatures w14:val="none"/>
              </w:rPr>
            </w:pPr>
            <w:r w:rsidRPr="00E904F7">
              <w:rPr>
                <w:rFonts w:eastAsiaTheme="majorEastAsia" w:cstheme="minorHAnsi"/>
                <w:b/>
                <w:bCs/>
                <w:kern w:val="0"/>
                <w:lang w:val="en-US" w:eastAsia="ja-JP"/>
                <w14:ligatures w14:val="none"/>
              </w:rPr>
              <w:t>Section III: Financial risk analysis at banks</w:t>
            </w:r>
            <w:r w:rsidRPr="00E904F7">
              <w:rPr>
                <w:rFonts w:eastAsiaTheme="majorEastAsia" w:cstheme="minorHAnsi"/>
                <w:kern w:val="0"/>
                <w:lang w:val="en-US" w:eastAsia="ja-JP"/>
                <w14:ligatures w14:val="none"/>
              </w:rPr>
              <w:t>: Describes the analytical framework for assessing climate-related risks, the role of supervisory dialogue (Pillar 2), and the importance of scenario analysis in risk management.</w:t>
            </w:r>
          </w:p>
          <w:p w14:paraId="2325E33D" w14:textId="77777777" w:rsidR="00E904F7" w:rsidRPr="00E904F7" w:rsidRDefault="00E904F7" w:rsidP="00E904F7">
            <w:pPr>
              <w:widowControl w:val="0"/>
              <w:numPr>
                <w:ilvl w:val="0"/>
                <w:numId w:val="49"/>
              </w:numPr>
              <w:spacing w:before="100" w:beforeAutospacing="1" w:after="100" w:afterAutospacing="1" w:line="256" w:lineRule="auto"/>
              <w:jc w:val="both"/>
              <w:rPr>
                <w:rFonts w:eastAsiaTheme="majorEastAsia" w:cstheme="minorHAnsi"/>
                <w:kern w:val="0"/>
                <w:lang w:val="en-US" w:eastAsia="ja-JP"/>
                <w14:ligatures w14:val="none"/>
              </w:rPr>
            </w:pPr>
            <w:r w:rsidRPr="00E904F7">
              <w:rPr>
                <w:rFonts w:eastAsiaTheme="majorEastAsia" w:cstheme="minorHAnsi"/>
                <w:b/>
                <w:bCs/>
                <w:kern w:val="0"/>
                <w:lang w:val="en-US" w:eastAsia="ja-JP"/>
                <w14:ligatures w14:val="none"/>
              </w:rPr>
              <w:t>Section V: Future direction</w:t>
            </w:r>
            <w:r w:rsidRPr="00E904F7">
              <w:rPr>
                <w:rFonts w:eastAsiaTheme="majorEastAsia" w:cstheme="minorHAnsi"/>
                <w:kern w:val="0"/>
                <w:lang w:val="en-US" w:eastAsia="ja-JP"/>
                <w14:ligatures w14:val="none"/>
              </w:rPr>
              <w:t xml:space="preserve">: </w:t>
            </w:r>
            <w:proofErr w:type="spellStart"/>
            <w:r w:rsidRPr="00E904F7">
              <w:rPr>
                <w:rFonts w:eastAsiaTheme="majorEastAsia" w:cstheme="minorHAnsi"/>
                <w:kern w:val="0"/>
                <w:lang w:val="en-US" w:eastAsia="ja-JP"/>
                <w14:ligatures w14:val="none"/>
              </w:rPr>
              <w:t>Emphasises</w:t>
            </w:r>
            <w:proofErr w:type="spellEnd"/>
            <w:r w:rsidRPr="00E904F7">
              <w:rPr>
                <w:rFonts w:eastAsiaTheme="majorEastAsia" w:cstheme="minorHAnsi"/>
                <w:kern w:val="0"/>
                <w:lang w:val="en-US" w:eastAsia="ja-JP"/>
                <w14:ligatures w14:val="none"/>
              </w:rPr>
              <w:t xml:space="preserve"> the need for enhanced methodologies, </w:t>
            </w:r>
            <w:proofErr w:type="spellStart"/>
            <w:r w:rsidRPr="00E904F7">
              <w:rPr>
                <w:rFonts w:eastAsiaTheme="majorEastAsia" w:cstheme="minorHAnsi"/>
                <w:kern w:val="0"/>
                <w:lang w:val="en-US" w:eastAsia="ja-JP"/>
                <w14:ligatures w14:val="none"/>
              </w:rPr>
              <w:t>standardisation</w:t>
            </w:r>
            <w:proofErr w:type="spellEnd"/>
            <w:r w:rsidRPr="00E904F7">
              <w:rPr>
                <w:rFonts w:eastAsiaTheme="majorEastAsia" w:cstheme="minorHAnsi"/>
                <w:kern w:val="0"/>
                <w:lang w:val="en-US" w:eastAsia="ja-JP"/>
                <w14:ligatures w14:val="none"/>
              </w:rPr>
              <w:t>, and improved disclosure practices (Pillar 3) to support both supervisory objectives and market discipline.</w:t>
            </w:r>
          </w:p>
          <w:p w14:paraId="19A08324" w14:textId="14A09592" w:rsidR="008C4722" w:rsidRPr="00E904F7"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A4682F7" w:rsidR="007B7DEE" w:rsidRPr="00E904F7" w:rsidRDefault="00E904F7"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25251870" w:rsidR="00ED7E12" w:rsidRPr="00E904F7" w:rsidRDefault="00E904F7"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37655869"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904F7">
              <w:rPr>
                <w:rFonts w:ascii="Calibri" w:hAnsi="Calibri" w:cs="Calibri" w:hint="eastAsia"/>
                <w:kern w:val="0"/>
                <w:lang w:eastAsia="ja-JP"/>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5201CDC"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904F7">
              <w:rPr>
                <w:rFonts w:ascii="Calibri" w:hAnsi="Calibri" w:cs="Calibri" w:hint="eastAsia"/>
                <w:kern w:val="0"/>
                <w:lang w:eastAsia="ja-JP"/>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79FA628"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904F7">
              <w:rPr>
                <w:rFonts w:ascii="Calibri" w:hAnsi="Calibri" w:cs="Calibri" w:hint="eastAsia"/>
                <w:kern w:val="0"/>
                <w:lang w:eastAsia="ja-JP"/>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0D1A1C9E"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904F7">
              <w:rPr>
                <w:rFonts w:ascii="Calibri" w:hAnsi="Calibri" w:cs="Calibri" w:hint="eastAsia"/>
                <w:kern w:val="0"/>
                <w:lang w:eastAsia="ja-JP"/>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421F823F"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904F7">
              <w:rPr>
                <w:rFonts w:ascii="Calibri" w:hAnsi="Calibri" w:cs="Calibri" w:hint="eastAsia"/>
                <w:kern w:val="0"/>
                <w:lang w:eastAsia="ja-JP"/>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6C02731F"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904F7">
              <w:rPr>
                <w:rFonts w:ascii="Calibri" w:hAnsi="Calibri" w:cs="Calibri" w:hint="eastAsia"/>
                <w:kern w:val="0"/>
                <w:lang w:eastAsia="ja-JP"/>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1E079170" w:rsidR="00702413" w:rsidRPr="00E904F7"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904F7">
              <w:rPr>
                <w:rFonts w:ascii="Calibri" w:hAnsi="Calibri" w:cs="Calibri" w:hint="eastAsia"/>
                <w:kern w:val="0"/>
                <w:lang w:eastAsia="ja-JP"/>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75BEEE75" w:rsidR="00C82860" w:rsidRPr="00F9402E" w:rsidRDefault="00F9402E"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2435BB8C" w:rsidR="00C82860" w:rsidRPr="00F9402E" w:rsidRDefault="00F9402E" w:rsidP="00F9402E">
            <w:pPr>
              <w:textAlignment w:val="baseline"/>
              <w:rPr>
                <w:rFonts w:ascii="Calibri" w:eastAsia="Times New Roman" w:hAnsi="Calibri" w:cs="Calibri"/>
                <w:kern w:val="0"/>
                <w:lang w:eastAsia="en-GB"/>
                <w14:ligatures w14:val="none"/>
              </w:rPr>
            </w:pPr>
            <w:r>
              <w:rPr>
                <w:rFonts w:ascii="Calibri" w:hAnsi="Calibri" w:cs="Calibri"/>
                <w14:ligatures w14:val="none"/>
              </w:rPr>
              <w:t>The policy tool described in the "Pilot Scenario Analysis on Climate-Related Financial Risks" does not mandate a formal climate-risk assessment as part of due diligence for new clients and transactions, but instead encourages financial institutions to enhance their climate risk management practices through improved scenario analysis and client engagement. The document recommends that banks and insurers use scenario analysis to understand and manage climate-related risks, refine their analysis of individual companies, and support clients in addressing climate change, but it stops short of prescribing a standardised or required due diligence process. The approach is positioned as iterative and adaptive, aiming to build analytical capacity and align with evolving international standards, as outlined in the Executive Summary and Section V ("Future direction") of the policy.</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32026606" w:rsidR="00C82860" w:rsidRPr="00F9402E"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9402E">
              <w:rPr>
                <w:rFonts w:ascii="Calibri" w:hAnsi="Calibri" w:cs="Calibri" w:hint="eastAsia"/>
                <w:kern w:val="0"/>
                <w:lang w:val="en-SG" w:eastAsia="ja-JP"/>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3D839323" w:rsidR="00C82860" w:rsidRPr="00F9402E"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9402E">
              <w:rPr>
                <w:rFonts w:ascii="Calibri" w:hAnsi="Calibri" w:cs="Calibri" w:hint="eastAsia"/>
                <w:kern w:val="0"/>
                <w:lang w:val="en-SG" w:eastAsia="ja-JP"/>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6A5AF20C" w:rsidR="00C82860" w:rsidRPr="00F9402E"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9402E">
              <w:rPr>
                <w:rFonts w:ascii="Calibri" w:hAnsi="Calibri" w:cs="Calibri" w:hint="eastAsia"/>
                <w:kern w:val="0"/>
                <w:lang w:val="en-SG" w:eastAsia="ja-JP"/>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5ACA9366" w:rsidR="00C82860" w:rsidRPr="00F9402E"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9402E">
              <w:rPr>
                <w:rFonts w:ascii="Calibri" w:hAnsi="Calibri" w:cs="Calibri" w:hint="eastAsia"/>
                <w:kern w:val="0"/>
                <w:lang w:val="en-SG" w:eastAsia="ja-JP"/>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383C64B8" w:rsidR="00C82860" w:rsidRPr="00F9402E"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9402E">
              <w:rPr>
                <w:rFonts w:ascii="Calibri" w:hAnsi="Calibri" w:cs="Calibri" w:hint="eastAsia"/>
                <w:kern w:val="0"/>
                <w:lang w:val="en-SG" w:eastAsia="ja-JP"/>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3E98087C" w:rsidR="00C82860" w:rsidRPr="00673210" w:rsidRDefault="00673210" w:rsidP="00CF2E7C">
            <w:pPr>
              <w:textAlignment w:val="baseline"/>
              <w:rPr>
                <w:rFonts w:ascii="Calibri" w:eastAsia="Times New Roman" w:hAnsi="Calibri" w:cs="Calibri"/>
                <w:kern w:val="0"/>
                <w:lang w:eastAsia="en-GB"/>
                <w14:ligatures w14:val="none"/>
              </w:rPr>
            </w:pPr>
            <w:r w:rsidRPr="00673210">
              <w:rPr>
                <w:rFonts w:ascii="Calibri" w:eastAsia="Times New Roman" w:hAnsi="Calibri" w:cs="Calibri"/>
                <w:kern w:val="0"/>
                <w:lang w:val="en-US" w:eastAsia="en-GB"/>
                <w14:ligatures w14:val="none"/>
              </w:rPr>
              <w:t xml:space="preserve">The policy tool recommends that financial institutions use a range of metrics to monitor and assess portfolio exposures to higher climate physical and transition risks, focusing on both sectoral and geographical dimensions (Section III, pp. 14, 18, 22–26). For transition risk, banks are advised to estimate credit costs by sector, particularly for high-emission "key sectors," using financial simulations of sample firms and extrapolating to the broader portfolio (pp. 14, 22–26). For physical risk, location-based metrics such as the geographical distribution of borrowers and collateral, combined with hazard maps and disaster probability data, are used to assess exposure (pp. 14, 18–19). Scenario analysis is central to this approach, with institutions </w:t>
            </w:r>
            <w:r w:rsidRPr="00673210">
              <w:rPr>
                <w:rFonts w:ascii="Calibri" w:eastAsia="Times New Roman" w:hAnsi="Calibri" w:cs="Calibri"/>
                <w:kern w:val="0"/>
                <w:lang w:val="en-US" w:eastAsia="en-GB"/>
                <w14:ligatures w14:val="none"/>
              </w:rPr>
              <w:lastRenderedPageBreak/>
              <w:t>estimating changes in credit costs under different climate scenarios (Net Zero 2050, Delayed Transition, Current Policies) and using macroeconomic and sectoral indicators to inform their analysis (pp. 13, 16–17, 19–20, 22–26). The document stresses the importance of comparability and methodological enhancement, recommending the use of common assumptions and metrics where possible, while acknowledging that the approach remains advisory due to ongoing methodological development and data limitations (pp. 1–2, 22, 33).</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7641156F" w:rsidR="00655FF7" w:rsidRPr="00673210" w:rsidRDefault="00673210"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75066A3E" w:rsidR="003032A9" w:rsidRPr="00DF2C5E" w:rsidRDefault="00DF2C5E"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1EDC01A0" w:rsidR="009818E7" w:rsidRPr="00DF2C5E" w:rsidRDefault="00DF2C5E"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N/A</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3DF7B457" w:rsidR="003D5104" w:rsidRPr="00DF2C5E" w:rsidRDefault="00DF2C5E"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1B95F98E" w:rsidR="003D5104" w:rsidRPr="00DF2C5E" w:rsidRDefault="00DF2C5E"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3EBF1A0E" w:rsidR="00BE1F9E" w:rsidRPr="00DF2C5E" w:rsidRDefault="00DF2C5E"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F09B53D" w:rsidR="00BE1F9E" w:rsidRPr="00DF2C5E" w:rsidRDefault="00DF2C5E" w:rsidP="00CF2E7C">
            <w:pPr>
              <w:textAlignment w:val="baseline"/>
              <w:rPr>
                <w:rFonts w:ascii="Calibri" w:eastAsia="Times New Roman" w:hAnsi="Calibri" w:cs="Calibri"/>
                <w:kern w:val="0"/>
                <w:lang w:eastAsia="en-GB"/>
                <w14:ligatures w14:val="none"/>
              </w:rPr>
            </w:pPr>
            <w:r>
              <w:rPr>
                <w:rFonts w:ascii="Calibri" w:hAnsi="Calibri" w:cs="Calibri" w:hint="eastAsia"/>
                <w:kern w:val="0"/>
                <w:lang w:eastAsia="ja-JP"/>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10D0A4F4" w:rsidR="00BE1F9E" w:rsidRPr="00DF2C5E"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F2C5E">
              <w:rPr>
                <w:rFonts w:ascii="Calibri" w:hAnsi="Calibri" w:cs="Calibri" w:hint="eastAsia"/>
                <w:kern w:val="0"/>
                <w:lang w:val="en-SG" w:eastAsia="ja-JP"/>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0351C7E7" w:rsidR="00BE1F9E" w:rsidRPr="000F3E7B" w:rsidRDefault="000F3E7B" w:rsidP="000F3E7B">
            <w:pPr>
              <w:rPr>
                <w:rFonts w:ascii="Calibri" w:eastAsia="Times New Roman" w:hAnsi="Calibri" w:cs="Calibri"/>
                <w:kern w:val="0"/>
                <w:lang w:eastAsia="en-GB"/>
                <w14:ligatures w14:val="none"/>
              </w:rPr>
            </w:pPr>
            <w:r>
              <w:rPr>
                <w:rFonts w:ascii="Calibri" w:eastAsia="BIZ UD明朝 Medium" w:hAnsi="Calibri" w:cs="Calibri"/>
              </w:rPr>
              <w:t>The policy tool recommends that financial institutions use a range of metrics to monitor and assess portfolio exposures to higher climate physical and transition risks, focusing on both sectoral and geographical dimensions (Section III, pp. 14, 18, 22–26). For transition risk, banks are advised to estimate credit costs by sector, particularly for high-emission "key sectors," using financial simulations of sample firms and extrapolating to the broader portfolio (pp. 14, 22–26). For physical risk, location-based metrics such as the geographical distribution of borrowers and collateral, combined with hazard maps and disaster probability data, are used to assess exposure (pp. 14, 18–19). Scenario analysis is central to this approach, with institutions estimating changes in credit costs under different climate scenarios (Net Zero 2050, Delayed Transition, Current Policies) and using macroeconomic and sectoral indicators to inform their analysis (pp. 13, 16–17, 19–20, 22–26). The document stresses the importance of comparability and methodological enhancement, recommending the use of common assumptions and metrics where possible, while acknowledging that the approach remains advisory due to ongoing methodological development and data limitations (pp. 1–2, 22, 33).</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3D5D8516" w:rsidR="00DC31BF" w:rsidRPr="00CF2E7C" w:rsidRDefault="000F3E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13BFA4C8" w:rsidR="0098226E" w:rsidRPr="00CF2E7C" w:rsidRDefault="003748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66A0977E" w:rsidR="00F10A6E" w:rsidRPr="00CF2E7C" w:rsidRDefault="00750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0E9CBDD2" w:rsidR="00F10A6E" w:rsidRPr="007502FD" w:rsidRDefault="007502FD" w:rsidP="007502FD">
            <w:pPr>
              <w:textAlignment w:val="baseline"/>
              <w:rPr>
                <w:rFonts w:ascii="Calibri" w:eastAsia="Times New Roman" w:hAnsi="Calibri" w:cs="Calibri"/>
                <w:kern w:val="0"/>
                <w:lang w:eastAsia="en-GB"/>
                <w14:ligatures w14:val="none"/>
              </w:rPr>
            </w:pPr>
            <w:r>
              <w:rPr>
                <w:rFonts w:ascii="Calibri" w:eastAsia="BIZ UD明朝 Medium" w:hAnsi="Calibri" w:cs="Calibri"/>
              </w:rPr>
              <w:t>The climate scenario analysis exercise conducted by the Financial Services Agency (FSA) and the Bank of Japan (BOJ) adopts a significantly longer time horizon than traditional stress-testing, with transition risks assessed over the period 2021–2050 (in five-year intervals) and physical risks extending up to both 2050 and 2100, reflecting the gradual and uncertain manifestation of climate-related risks (Section II: Scenario design, pp. 5–11; Section III: Financial risk analysis at banks, pp. 12–18; Section IV: Financial risk analysis in insurance, pp. 29–32). This extended horizon is aligned with international practices and scientific assessments, such as those of the IPCC, which indicate that the impacts of climate change, particularly physical risks, become more pronounced in the latter half of the century, thus necessitating scenario analysis periods far beyond the typical 1–5 years used in standard stress-testing (Section II, p. 6; Section III, pp. 14–15).</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4B0B2792" w:rsidR="00F26296" w:rsidRPr="00CF2E7C" w:rsidRDefault="00EB54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5B04D9F9" w:rsidR="00F26296" w:rsidRPr="00CF2E7C" w:rsidRDefault="00EB54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61135524" w:rsidR="00F26296" w:rsidRPr="00EB54BD" w:rsidRDefault="00EB54BD" w:rsidP="00EB54BD">
            <w:pPr>
              <w:textAlignment w:val="baseline"/>
              <w:rPr>
                <w:rFonts w:ascii="Calibri" w:eastAsia="Times New Roman" w:hAnsi="Calibri" w:cs="Calibri"/>
                <w:kern w:val="0"/>
                <w:lang w:eastAsia="en-GB"/>
                <w14:ligatures w14:val="none"/>
              </w:rPr>
            </w:pPr>
            <w:r>
              <w:rPr>
                <w:rFonts w:ascii="Calibri" w:eastAsia="BIZ UD明朝 Medium" w:hAnsi="Calibri" w:cs="Calibri"/>
              </w:rPr>
              <w:t>The results of the stress-testing or scenario analysis exercise, as outlined in the "Pilot Scenario Analysis on Climate-Related Financial Risks" (Executive Summary; Section V, p. 33), are used primarily to enhance the analytical capabilities of both supervisory authorities and financial institutions, rather than to inform direct regulatory actions. The exercise is a pilot focused on identifying data constraints, validating methods, and improving climate risk management frameworks. The findings support the refinement of scenario analysis methodologies and facilitate ongoing dialogue, serving as a capacity-building tool rather than a basis for regulatory capital or liquidity requirements (pp. 10–11; Section V, p. 33).</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182FF43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54BD">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6D59F95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54BD">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D34C25E" w:rsidR="00F26296" w:rsidRPr="00CF2E7C" w:rsidRDefault="00EB54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8538EE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54BD">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221E790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54BD">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AD9EC0E" w:rsidR="00F26296" w:rsidRPr="00CF2E7C" w:rsidRDefault="00EB54BD" w:rsidP="00CF2E7C">
            <w:pPr>
              <w:textAlignment w:val="baseline"/>
              <w:rPr>
                <w:rFonts w:ascii="Calibri" w:eastAsia="Times New Roman" w:hAnsi="Calibri" w:cs="Calibri"/>
                <w:kern w:val="0"/>
                <w:lang w:eastAsia="en-GB"/>
                <w14:ligatures w14:val="none"/>
              </w:rPr>
            </w:pPr>
            <w:r w:rsidRPr="00EB54BD">
              <w:rPr>
                <w:rFonts w:ascii="Calibri" w:eastAsia="Times New Roman" w:hAnsi="Calibri" w:cs="Calibri"/>
                <w:kern w:val="0"/>
                <w:lang w:eastAsia="en-GB"/>
                <w14:ligatures w14:val="none"/>
              </w:rPr>
              <w:t>The policy tool does not set, recommend, or require differentiated capital requirements for green versus brown sectors. The scenario analysis is used for risk assessment and methodological development, not for regulatory capital differentiation.</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92987E4" w:rsidR="00B114FD" w:rsidRPr="00CF2E7C" w:rsidRDefault="00EB54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C9DB3E3" w:rsidR="00B114FD" w:rsidRPr="00CF2E7C" w:rsidRDefault="00B61D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7B3579F" w:rsidR="00702413" w:rsidRPr="00B61DBF" w:rsidRDefault="00B61DBF" w:rsidP="00B61DBF">
            <w:pPr>
              <w:textAlignment w:val="baseline"/>
              <w:rPr>
                <w:rFonts w:eastAsia="Times New Roman" w:cstheme="minorHAnsi"/>
                <w:kern w:val="0"/>
                <w:lang w:eastAsia="en-GB"/>
                <w14:ligatures w14:val="none"/>
              </w:rPr>
            </w:pPr>
            <w:r>
              <w:rPr>
                <w:rFonts w:ascii="Calibri" w:eastAsia="BIZ UD明朝 Medium" w:hAnsi="Calibri" w:cs="Calibri"/>
              </w:rPr>
              <w:t>The implementation of prudential policy tools for climate-related financial risk management is impeded by data gaps, methodological uncertainties, modelling complexities, resource constraints, and the need for greater standardisation and international coordination. Addressing these barriers will require ongoing dialogue between regulators and industry, investment in data and modelling capabilities, and the gradual refinement of supervisory frameworks.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165066AA" w:rsidR="00FE0EA5" w:rsidRPr="009C4D10" w:rsidRDefault="00FE0EA5" w:rsidP="00CF2E7C">
            <w:pPr>
              <w:rPr>
                <w:rFonts w:cstheme="minorHAnsi"/>
              </w:rPr>
            </w:pPr>
            <w:r w:rsidRPr="009C4D10">
              <w:rPr>
                <w:rFonts w:cstheme="minorHAnsi"/>
                <w:lang w:val="en-SG"/>
              </w:rPr>
              <w:t> </w:t>
            </w:r>
            <w:r w:rsidRPr="009C4D10">
              <w:rPr>
                <w:rFonts w:cstheme="minorHAnsi"/>
              </w:rPr>
              <w:t> </w:t>
            </w:r>
            <w:r w:rsidR="00B61DB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6CFB51A3" w:rsidR="00FE0EA5" w:rsidRPr="009C4D10" w:rsidRDefault="00FE0EA5" w:rsidP="00CF2E7C">
            <w:pPr>
              <w:rPr>
                <w:rFonts w:cstheme="minorHAnsi"/>
              </w:rPr>
            </w:pPr>
            <w:r w:rsidRPr="009C4D10">
              <w:rPr>
                <w:rFonts w:cstheme="minorHAnsi"/>
                <w:lang w:val="en-SG"/>
              </w:rPr>
              <w:t> </w:t>
            </w:r>
            <w:r w:rsidRPr="009C4D10">
              <w:rPr>
                <w:rFonts w:cstheme="minorHAnsi"/>
              </w:rPr>
              <w:t> </w:t>
            </w:r>
            <w:r w:rsidR="00B61DB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91FF8" w:rsidP="00CF2E7C">
            <w:pPr>
              <w:rPr>
                <w:rFonts w:cstheme="minorHAnsi"/>
              </w:rPr>
            </w:pPr>
            <w:hyperlink r:id="rId18"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1CF3B53A" w:rsidR="00FE0EA5" w:rsidRPr="009C4D10" w:rsidRDefault="00FE0EA5" w:rsidP="00CF2E7C">
            <w:pPr>
              <w:rPr>
                <w:rFonts w:cstheme="minorHAnsi"/>
              </w:rPr>
            </w:pPr>
            <w:r w:rsidRPr="009C4D10">
              <w:rPr>
                <w:rFonts w:cstheme="minorHAnsi"/>
                <w:lang w:val="en-SG"/>
              </w:rPr>
              <w:t> </w:t>
            </w:r>
            <w:r w:rsidRPr="009C4D10">
              <w:rPr>
                <w:rFonts w:cstheme="minorHAnsi"/>
              </w:rPr>
              <w:t> </w:t>
            </w:r>
            <w:r w:rsidR="00B61DB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91FF8" w:rsidP="00CF2E7C">
            <w:pPr>
              <w:rPr>
                <w:rFonts w:cstheme="minorHAnsi"/>
              </w:rPr>
            </w:pPr>
            <w:hyperlink r:id="rId19"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251DBBE6" w:rsidR="00FE0EA5" w:rsidRPr="009C4D10" w:rsidRDefault="00FE0EA5" w:rsidP="00CF2E7C">
            <w:pPr>
              <w:rPr>
                <w:rFonts w:cstheme="minorHAnsi"/>
              </w:rPr>
            </w:pPr>
            <w:r w:rsidRPr="009C4D10">
              <w:rPr>
                <w:rFonts w:cstheme="minorHAnsi"/>
                <w:lang w:val="en-SG"/>
              </w:rPr>
              <w:t> </w:t>
            </w:r>
            <w:r w:rsidRPr="009C4D10">
              <w:rPr>
                <w:rFonts w:cstheme="minorHAnsi"/>
              </w:rPr>
              <w:t> </w:t>
            </w:r>
            <w:r w:rsidR="00B61DB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5F61EC87" w:rsidR="00FE0EA5" w:rsidRPr="009C4D10" w:rsidRDefault="00FE0EA5" w:rsidP="00CF2E7C">
            <w:pPr>
              <w:rPr>
                <w:rFonts w:cstheme="minorHAnsi"/>
              </w:rPr>
            </w:pPr>
            <w:r w:rsidRPr="009C4D10">
              <w:rPr>
                <w:rFonts w:cstheme="minorHAnsi"/>
                <w:lang w:val="en-SG"/>
              </w:rPr>
              <w:t> </w:t>
            </w:r>
            <w:r w:rsidRPr="009C4D10">
              <w:rPr>
                <w:rFonts w:cstheme="minorHAnsi"/>
              </w:rPr>
              <w:t> </w:t>
            </w:r>
            <w:r w:rsidR="00B61DB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48D44C9D" w:rsidR="00FE0EA5" w:rsidRPr="009C4D10" w:rsidRDefault="00FE0EA5" w:rsidP="00CF2E7C">
            <w:pPr>
              <w:rPr>
                <w:rFonts w:cstheme="minorHAnsi"/>
              </w:rPr>
            </w:pPr>
            <w:r w:rsidRPr="009C4D10">
              <w:rPr>
                <w:rFonts w:cstheme="minorHAnsi"/>
              </w:rPr>
              <w:t>  </w:t>
            </w:r>
            <w:r w:rsidR="00B61DB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C05C2A9"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843D8E" w:rsidRDefault="00C01AF9" w:rsidP="00843D8E">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C375D4" w14:textId="77777777" w:rsidR="00083652" w:rsidRDefault="00083652" w:rsidP="00874E39">
      <w:r>
        <w:separator/>
      </w:r>
    </w:p>
  </w:endnote>
  <w:endnote w:type="continuationSeparator" w:id="0">
    <w:p w14:paraId="56170F9D" w14:textId="77777777" w:rsidR="00083652" w:rsidRDefault="00083652" w:rsidP="00874E39">
      <w:r>
        <w:continuationSeparator/>
      </w:r>
    </w:p>
  </w:endnote>
  <w:endnote w:type="continuationNotice" w:id="1">
    <w:p w14:paraId="2EE9B1FE" w14:textId="77777777" w:rsidR="00083652" w:rsidRDefault="000836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 w:name="BIZ UD明朝 Medium">
    <w:panose1 w:val="02020500000000000000"/>
    <w:charset w:val="80"/>
    <w:family w:val="roman"/>
    <w:pitch w:val="fixed"/>
    <w:sig w:usb0="E00002F7" w:usb1="2AC7EDF8" w:usb2="00000012"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B71042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446B62" w14:textId="77777777" w:rsidR="00083652" w:rsidRDefault="00083652" w:rsidP="00874E39">
      <w:r>
        <w:separator/>
      </w:r>
    </w:p>
  </w:footnote>
  <w:footnote w:type="continuationSeparator" w:id="0">
    <w:p w14:paraId="35FB2D74" w14:textId="77777777" w:rsidR="00083652" w:rsidRDefault="00083652" w:rsidP="00874E39">
      <w:r>
        <w:continuationSeparator/>
      </w:r>
    </w:p>
  </w:footnote>
  <w:footnote w:type="continuationNotice" w:id="1">
    <w:p w14:paraId="54799438" w14:textId="77777777" w:rsidR="00083652" w:rsidRDefault="000836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7B3DA4"/>
    <w:multiLevelType w:val="multilevel"/>
    <w:tmpl w:val="F4B44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CD6774B"/>
    <w:multiLevelType w:val="hybridMultilevel"/>
    <w:tmpl w:val="9E3E1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6"/>
  </w:num>
  <w:num w:numId="9" w16cid:durableId="1685783054">
    <w:abstractNumId w:val="4"/>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7"/>
  </w:num>
  <w:num w:numId="28" w16cid:durableId="537133110">
    <w:abstractNumId w:val="13"/>
  </w:num>
  <w:num w:numId="29" w16cid:durableId="1632318729">
    <w:abstractNumId w:val="47"/>
  </w:num>
  <w:num w:numId="30" w16cid:durableId="1268124074">
    <w:abstractNumId w:val="34"/>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2"/>
  </w:num>
  <w:num w:numId="46" w16cid:durableId="947811845">
    <w:abstractNumId w:val="48"/>
  </w:num>
  <w:num w:numId="47" w16cid:durableId="342588554">
    <w:abstractNumId w:val="26"/>
  </w:num>
  <w:num w:numId="48" w16cid:durableId="318391343">
    <w:abstractNumId w:val="38"/>
  </w:num>
  <w:num w:numId="49" w16cid:durableId="930233949">
    <w:abstractNumId w:val="2"/>
  </w:num>
  <w:num w:numId="50" w16cid:durableId="929391620">
    <w:abstractNumId w:val="3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652"/>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E7B"/>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9D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19B9"/>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80E"/>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3D1F"/>
    <w:rsid w:val="003E43FE"/>
    <w:rsid w:val="003E556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210"/>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19"/>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2FD"/>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9B5"/>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1FF8"/>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1DB"/>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D8E"/>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646"/>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9A9"/>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B5B"/>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22A"/>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185"/>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1DBF"/>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320"/>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108"/>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C5E"/>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726"/>
    <w:rsid w:val="00E81727"/>
    <w:rsid w:val="00E8221C"/>
    <w:rsid w:val="00E83D9D"/>
    <w:rsid w:val="00E83E48"/>
    <w:rsid w:val="00E85E70"/>
    <w:rsid w:val="00E86E3F"/>
    <w:rsid w:val="00E87F57"/>
    <w:rsid w:val="00E904F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4BD"/>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02E"/>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 w:type="paragraph" w:styleId="Web">
    <w:name w:val="Normal (Web)"/>
    <w:basedOn w:val="a"/>
    <w:uiPriority w:val="99"/>
    <w:unhideWhenUsed/>
    <w:rsid w:val="00912B5B"/>
    <w:pPr>
      <w:spacing w:before="100" w:beforeAutospacing="1" w:after="100" w:afterAutospacing="1"/>
    </w:pPr>
    <w:rPr>
      <w:rFonts w:ascii="Times New Roman" w:eastAsia="Times New Roman" w:hAnsi="Times New Roman" w:cs="Times New Roman"/>
      <w:kern w:val="0"/>
      <w:lang w:val="en-US" w:eastAsia="ja-JP"/>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305748">
      <w:bodyDiv w:val="1"/>
      <w:marLeft w:val="0"/>
      <w:marRight w:val="0"/>
      <w:marTop w:val="0"/>
      <w:marBottom w:val="0"/>
      <w:divBdr>
        <w:top w:val="none" w:sz="0" w:space="0" w:color="auto"/>
        <w:left w:val="none" w:sz="0" w:space="0" w:color="auto"/>
        <w:bottom w:val="none" w:sz="0" w:space="0" w:color="auto"/>
        <w:right w:val="none" w:sz="0" w:space="0" w:color="auto"/>
      </w:divBdr>
    </w:div>
    <w:div w:id="47468625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674140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709093">
      <w:bodyDiv w:val="1"/>
      <w:marLeft w:val="0"/>
      <w:marRight w:val="0"/>
      <w:marTop w:val="0"/>
      <w:marBottom w:val="0"/>
      <w:divBdr>
        <w:top w:val="none" w:sz="0" w:space="0" w:color="auto"/>
        <w:left w:val="none" w:sz="0" w:space="0" w:color="auto"/>
        <w:bottom w:val="none" w:sz="0" w:space="0" w:color="auto"/>
        <w:right w:val="none" w:sz="0" w:space="0" w:color="auto"/>
      </w:divBdr>
    </w:div>
    <w:div w:id="112704911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3079945">
      <w:bodyDiv w:val="1"/>
      <w:marLeft w:val="0"/>
      <w:marRight w:val="0"/>
      <w:marTop w:val="0"/>
      <w:marBottom w:val="0"/>
      <w:divBdr>
        <w:top w:val="none" w:sz="0" w:space="0" w:color="auto"/>
        <w:left w:val="none" w:sz="0" w:space="0" w:color="auto"/>
        <w:bottom w:val="none" w:sz="0" w:space="0" w:color="auto"/>
        <w:right w:val="none" w:sz="0" w:space="0" w:color="auto"/>
      </w:divBdr>
    </w:div>
    <w:div w:id="1291980031">
      <w:bodyDiv w:val="1"/>
      <w:marLeft w:val="0"/>
      <w:marRight w:val="0"/>
      <w:marTop w:val="0"/>
      <w:marBottom w:val="0"/>
      <w:divBdr>
        <w:top w:val="none" w:sz="0" w:space="0" w:color="auto"/>
        <w:left w:val="none" w:sz="0" w:space="0" w:color="auto"/>
        <w:bottom w:val="none" w:sz="0" w:space="0" w:color="auto"/>
        <w:right w:val="none" w:sz="0" w:space="0" w:color="auto"/>
      </w:divBdr>
    </w:div>
    <w:div w:id="1502233653">
      <w:bodyDiv w:val="1"/>
      <w:marLeft w:val="0"/>
      <w:marRight w:val="0"/>
      <w:marTop w:val="0"/>
      <w:marBottom w:val="0"/>
      <w:divBdr>
        <w:top w:val="none" w:sz="0" w:space="0" w:color="auto"/>
        <w:left w:val="none" w:sz="0" w:space="0" w:color="auto"/>
        <w:bottom w:val="none" w:sz="0" w:space="0" w:color="auto"/>
        <w:right w:val="none" w:sz="0" w:space="0" w:color="auto"/>
      </w:divBdr>
    </w:div>
    <w:div w:id="180869428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sa.go.jp/en/news/2022/20220826/0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112</Pages>
  <Words>23275</Words>
  <Characters>132672</Characters>
  <Application>Microsoft Office Word</Application>
  <DocSecurity>0</DocSecurity>
  <Lines>1105</Lines>
  <Paragraphs>311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155636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2025-08-12T08:12:00Z</dcterms:created>
  <dcterms:modified xsi:type="dcterms:W3CDTF">2025-08-12T08:12:00Z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